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32A2" w14:textId="4A0F1268" w:rsidR="0014629B" w:rsidRPr="002546A3" w:rsidRDefault="0014629B" w:rsidP="646E7863">
      <w:pPr>
        <w:pStyle w:val="Title"/>
        <w:rPr>
          <w:rFonts w:asciiTheme="minorHAnsi" w:hAnsiTheme="minorHAnsi" w:cstheme="minorBidi"/>
        </w:rPr>
      </w:pPr>
      <w:r w:rsidRPr="646E7863">
        <w:rPr>
          <w:rFonts w:asciiTheme="minorHAnsi" w:hAnsiTheme="minorHAnsi" w:cstheme="minorBidi"/>
        </w:rPr>
        <w:t xml:space="preserve">TVS SDE </w:t>
      </w:r>
      <w:r w:rsidR="003765AD" w:rsidRPr="646E7863">
        <w:rPr>
          <w:rFonts w:asciiTheme="minorHAnsi" w:hAnsiTheme="minorHAnsi" w:cstheme="minorBidi"/>
        </w:rPr>
        <w:t>Commercial</w:t>
      </w:r>
      <w:r w:rsidR="005955D2" w:rsidRPr="646E7863">
        <w:rPr>
          <w:rFonts w:asciiTheme="minorHAnsi" w:hAnsiTheme="minorHAnsi" w:cstheme="minorBidi"/>
        </w:rPr>
        <w:t xml:space="preserve"> Research Advisory Committee (</w:t>
      </w:r>
      <w:r w:rsidR="003765AD" w:rsidRPr="646E7863">
        <w:rPr>
          <w:rFonts w:asciiTheme="minorHAnsi" w:hAnsiTheme="minorHAnsi" w:cstheme="minorBidi"/>
        </w:rPr>
        <w:t>C</w:t>
      </w:r>
      <w:r w:rsidR="005955D2" w:rsidRPr="646E7863">
        <w:rPr>
          <w:rFonts w:asciiTheme="minorHAnsi" w:hAnsiTheme="minorHAnsi" w:cstheme="minorBidi"/>
        </w:rPr>
        <w:t xml:space="preserve">RAC) - </w:t>
      </w:r>
      <w:r w:rsidRPr="646E7863">
        <w:rPr>
          <w:rFonts w:asciiTheme="minorHAnsi" w:hAnsiTheme="minorHAnsi" w:cstheme="minorBidi"/>
        </w:rPr>
        <w:t>Terms of Reference</w:t>
      </w:r>
      <w:r w:rsidR="78E7EE8B" w:rsidRPr="646E7863">
        <w:rPr>
          <w:rFonts w:asciiTheme="minorHAnsi" w:hAnsiTheme="minorHAnsi" w:cstheme="minorBidi"/>
        </w:rPr>
        <w:t xml:space="preserve"> (</w:t>
      </w:r>
      <w:proofErr w:type="spellStart"/>
      <w:r w:rsidR="78E7EE8B" w:rsidRPr="646E7863">
        <w:rPr>
          <w:rFonts w:asciiTheme="minorHAnsi" w:hAnsiTheme="minorHAnsi" w:cstheme="minorBidi"/>
        </w:rPr>
        <w:t>ToR</w:t>
      </w:r>
      <w:proofErr w:type="spellEnd"/>
      <w:r w:rsidR="78E7EE8B" w:rsidRPr="646E7863">
        <w:rPr>
          <w:rFonts w:asciiTheme="minorHAnsi" w:hAnsiTheme="minorHAnsi" w:cstheme="minorBidi"/>
        </w:rPr>
        <w:t>)</w:t>
      </w:r>
    </w:p>
    <w:p w14:paraId="2D3926E9" w14:textId="77777777" w:rsidR="00D075C1" w:rsidRPr="002546A3" w:rsidRDefault="00D075C1" w:rsidP="00D075C1">
      <w:pPr>
        <w:pStyle w:val="Heading1"/>
        <w:rPr>
          <w:rFonts w:asciiTheme="minorHAnsi" w:hAnsiTheme="minorHAnsi" w:cstheme="minorHAnsi"/>
        </w:rPr>
      </w:pPr>
      <w:r w:rsidRPr="002546A3">
        <w:rPr>
          <w:rFonts w:asciiTheme="minorHAnsi" w:hAnsiTheme="minorHAnsi" w:cstheme="minorHAnsi"/>
        </w:rPr>
        <w:t>Revision history</w:t>
      </w:r>
    </w:p>
    <w:tbl>
      <w:tblPr>
        <w:tblStyle w:val="TableGrid"/>
        <w:tblW w:w="8908" w:type="dxa"/>
        <w:tblInd w:w="108" w:type="dxa"/>
        <w:tblLook w:val="04A0" w:firstRow="1" w:lastRow="0" w:firstColumn="1" w:lastColumn="0" w:noHBand="0" w:noVBand="1"/>
      </w:tblPr>
      <w:tblGrid>
        <w:gridCol w:w="615"/>
        <w:gridCol w:w="7020"/>
        <w:gridCol w:w="1273"/>
      </w:tblGrid>
      <w:tr w:rsidR="00D075C1" w14:paraId="21466147" w14:textId="77777777" w:rsidTr="06F413B6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7E42" w14:textId="77777777" w:rsidR="00D075C1" w:rsidRDefault="00D075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53A4" w14:textId="77777777" w:rsidR="00D075C1" w:rsidRDefault="00D075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First draft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6DC2" w14:textId="56A5273C" w:rsidR="00D075C1" w:rsidRDefault="001366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GR, FK</w:t>
            </w:r>
          </w:p>
        </w:tc>
      </w:tr>
      <w:tr w:rsidR="00D075C1" w14:paraId="5F6710C6" w14:textId="77777777" w:rsidTr="06F413B6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A44F" w14:textId="77777777" w:rsidR="00D075C1" w:rsidRDefault="00D075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2810" w14:textId="77777777" w:rsidR="00D075C1" w:rsidRDefault="00D075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Updated draft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E4F4" w14:textId="3AC15501" w:rsidR="00D075C1" w:rsidRDefault="00D075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</w:t>
            </w:r>
            <w:r w:rsidR="00136689">
              <w:rPr>
                <w:sz w:val="21"/>
                <w:szCs w:val="21"/>
              </w:rPr>
              <w:t>, FK</w:t>
            </w:r>
          </w:p>
        </w:tc>
      </w:tr>
      <w:tr w:rsidR="00D075C1" w14:paraId="48A17E40" w14:textId="77777777" w:rsidTr="06F413B6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8C8D" w14:textId="289085F2" w:rsidR="00D075C1" w:rsidRDefault="0D43B3C0">
            <w:pPr>
              <w:rPr>
                <w:sz w:val="21"/>
                <w:szCs w:val="21"/>
              </w:rPr>
            </w:pPr>
            <w:r w:rsidRPr="06F413B6">
              <w:rPr>
                <w:sz w:val="21"/>
                <w:szCs w:val="21"/>
              </w:rPr>
              <w:t>0.3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88F" w14:textId="126FD09D" w:rsidR="00D075C1" w:rsidRDefault="17C55DCF">
            <w:pPr>
              <w:rPr>
                <w:sz w:val="21"/>
                <w:szCs w:val="21"/>
              </w:rPr>
            </w:pPr>
            <w:r w:rsidRPr="06F413B6">
              <w:rPr>
                <w:sz w:val="21"/>
                <w:szCs w:val="21"/>
              </w:rPr>
              <w:t>Updated draft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CFE5" w14:textId="5B7DA8FA" w:rsidR="00D075C1" w:rsidRDefault="17C55DCF">
            <w:pPr>
              <w:rPr>
                <w:sz w:val="21"/>
                <w:szCs w:val="21"/>
              </w:rPr>
            </w:pPr>
            <w:r w:rsidRPr="06F413B6">
              <w:rPr>
                <w:sz w:val="21"/>
                <w:szCs w:val="21"/>
              </w:rPr>
              <w:t>GR, FK, RA</w:t>
            </w:r>
          </w:p>
        </w:tc>
      </w:tr>
      <w:tr w:rsidR="06F413B6" w14:paraId="26CAB7AF" w14:textId="77777777" w:rsidTr="06F413B6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CC73" w14:textId="21B612EC" w:rsidR="04297CFE" w:rsidRDefault="04297CFE" w:rsidP="06F413B6">
            <w:pPr>
              <w:rPr>
                <w:sz w:val="21"/>
                <w:szCs w:val="21"/>
              </w:rPr>
            </w:pPr>
            <w:r w:rsidRPr="06F413B6">
              <w:rPr>
                <w:sz w:val="21"/>
                <w:szCs w:val="21"/>
              </w:rPr>
              <w:t>0.4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B202" w14:textId="6190B20B" w:rsidR="04297CFE" w:rsidRDefault="04297CFE" w:rsidP="06F413B6">
            <w:pPr>
              <w:rPr>
                <w:sz w:val="21"/>
                <w:szCs w:val="21"/>
              </w:rPr>
            </w:pPr>
            <w:r w:rsidRPr="06F413B6">
              <w:rPr>
                <w:sz w:val="21"/>
                <w:szCs w:val="21"/>
              </w:rPr>
              <w:t>Updated draft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0FE" w14:textId="2788BF60" w:rsidR="04297CFE" w:rsidRDefault="04297CFE" w:rsidP="06F413B6">
            <w:pPr>
              <w:rPr>
                <w:sz w:val="21"/>
                <w:szCs w:val="21"/>
              </w:rPr>
            </w:pPr>
            <w:r w:rsidRPr="06F413B6">
              <w:rPr>
                <w:sz w:val="21"/>
                <w:szCs w:val="21"/>
              </w:rPr>
              <w:t>GR, FK, SD</w:t>
            </w:r>
          </w:p>
        </w:tc>
      </w:tr>
    </w:tbl>
    <w:p w14:paraId="109D755F" w14:textId="01554F42" w:rsidR="06F413B6" w:rsidRDefault="06F413B6"/>
    <w:p w14:paraId="48537B88" w14:textId="77777777" w:rsidR="001F58DC" w:rsidRPr="002546A3" w:rsidRDefault="001F58DC" w:rsidP="001F58DC">
      <w:pPr>
        <w:pStyle w:val="Heading1"/>
        <w:rPr>
          <w:rFonts w:asciiTheme="minorHAnsi" w:hAnsiTheme="minorHAnsi" w:cstheme="minorHAnsi"/>
        </w:rPr>
      </w:pPr>
      <w:r w:rsidRPr="002546A3">
        <w:rPr>
          <w:rFonts w:asciiTheme="minorHAnsi" w:hAnsiTheme="minorHAnsi" w:cstheme="minorHAnsi"/>
        </w:rPr>
        <w:t xml:space="preserve">About this document </w:t>
      </w:r>
    </w:p>
    <w:p w14:paraId="45B6FA0E" w14:textId="2386EB19" w:rsidR="001F58DC" w:rsidRDefault="001F58DC" w:rsidP="001F58DC">
      <w:r>
        <w:t>This document defines the scope, objectives, and role of The Thames Valley and Surrey Secure Data Environment</w:t>
      </w:r>
      <w:r w:rsidR="132C7710">
        <w:t xml:space="preserve"> (TVS SDE)</w:t>
      </w:r>
      <w:r>
        <w:t xml:space="preserve"> Commercial Research Advisory Committee (CRAC).  It serves as a guide for members and observers to understand their responsibilities, </w:t>
      </w:r>
      <w:r w:rsidR="00911D84">
        <w:t xml:space="preserve">set </w:t>
      </w:r>
      <w:r>
        <w:t xml:space="preserve">expectations, and agree ways of working.  </w:t>
      </w:r>
    </w:p>
    <w:p w14:paraId="17A3C946" w14:textId="2764D718" w:rsidR="001F58DC" w:rsidRDefault="001F58DC" w:rsidP="001F58DC">
      <w:r>
        <w:t xml:space="preserve">This document is presented in draft form.  It will be approved upon review and agreement with the CRAC.  </w:t>
      </w:r>
    </w:p>
    <w:p w14:paraId="1BCC9DED" w14:textId="45D073F0" w:rsidR="0014629B" w:rsidRPr="002546A3" w:rsidRDefault="001F58DC" w:rsidP="00246738">
      <w:pPr>
        <w:pStyle w:val="Heading1"/>
        <w:rPr>
          <w:rFonts w:asciiTheme="minorHAnsi" w:hAnsiTheme="minorHAnsi" w:cstheme="minorHAnsi"/>
        </w:rPr>
      </w:pPr>
      <w:r w:rsidRPr="002546A3">
        <w:rPr>
          <w:rFonts w:asciiTheme="minorHAnsi" w:hAnsiTheme="minorHAnsi" w:cstheme="minorHAnsi"/>
        </w:rPr>
        <w:t>Purpose</w:t>
      </w:r>
    </w:p>
    <w:p w14:paraId="7E0883E5" w14:textId="0D605B2F" w:rsidR="0014629B" w:rsidRDefault="0014629B" w:rsidP="0014629B">
      <w:r>
        <w:t xml:space="preserve">The TVS SDE </w:t>
      </w:r>
      <w:r w:rsidR="003765AD">
        <w:t>Commerc</w:t>
      </w:r>
      <w:r w:rsidR="00246738">
        <w:t>i</w:t>
      </w:r>
      <w:r w:rsidR="003765AD">
        <w:t>al Research Advisory Committee</w:t>
      </w:r>
      <w:r>
        <w:t xml:space="preserve"> is the key forum for </w:t>
      </w:r>
      <w:r w:rsidR="003765AD">
        <w:t xml:space="preserve">commercial </w:t>
      </w:r>
      <w:r>
        <w:t xml:space="preserve">stakeholders and management to discuss, review and guide the direction </w:t>
      </w:r>
      <w:r w:rsidR="00E22B3B">
        <w:t>of development</w:t>
      </w:r>
      <w:r w:rsidR="0000771B">
        <w:t xml:space="preserve">, </w:t>
      </w:r>
      <w:r w:rsidR="00822760">
        <w:t>sustainability,</w:t>
      </w:r>
      <w:r w:rsidR="00E22B3B">
        <w:t xml:space="preserve"> </w:t>
      </w:r>
      <w:r>
        <w:t xml:space="preserve">and use of the TVS SDE for collaborative </w:t>
      </w:r>
      <w:r w:rsidR="003765AD">
        <w:t xml:space="preserve">commercial </w:t>
      </w:r>
      <w:r>
        <w:t>research purposes</w:t>
      </w:r>
      <w:r w:rsidR="00BA3789">
        <w:t xml:space="preserve">.  As well as driving the </w:t>
      </w:r>
      <w:r w:rsidR="09FB8E38">
        <w:t xml:space="preserve">development and </w:t>
      </w:r>
      <w:r w:rsidR="00BA3789">
        <w:t xml:space="preserve">delivery of services that are </w:t>
      </w:r>
      <w:r w:rsidR="1E6020F9">
        <w:t xml:space="preserve">most </w:t>
      </w:r>
      <w:r w:rsidR="00BA3789">
        <w:t xml:space="preserve">useful </w:t>
      </w:r>
      <w:r w:rsidR="1E8D40CB">
        <w:t xml:space="preserve">to </w:t>
      </w:r>
      <w:r w:rsidR="00B33D9D">
        <w:t xml:space="preserve">the </w:t>
      </w:r>
      <w:r w:rsidR="003765AD">
        <w:t>commercial</w:t>
      </w:r>
      <w:r w:rsidR="00BA3789">
        <w:t xml:space="preserve"> </w:t>
      </w:r>
      <w:r w:rsidR="00B33D9D">
        <w:t>community</w:t>
      </w:r>
      <w:r w:rsidR="00BA3789">
        <w:t xml:space="preserve">, this group will </w:t>
      </w:r>
      <w:r w:rsidR="3BE52C13">
        <w:t>help prepare</w:t>
      </w:r>
      <w:r w:rsidR="00BA3789">
        <w:t xml:space="preserve"> </w:t>
      </w:r>
      <w:r w:rsidR="00B806B0">
        <w:t xml:space="preserve">customers </w:t>
      </w:r>
      <w:r w:rsidR="00BA3789">
        <w:t>for changes to existing governance processes</w:t>
      </w:r>
      <w:r w:rsidR="4B56A906">
        <w:t xml:space="preserve">, thus </w:t>
      </w:r>
      <w:r w:rsidR="00BA3789">
        <w:t>optimising the</w:t>
      </w:r>
      <w:r w:rsidR="319FF790">
        <w:t>ir</w:t>
      </w:r>
      <w:r w:rsidR="00BA3789">
        <w:t xml:space="preserve"> </w:t>
      </w:r>
      <w:r w:rsidR="34FF0062">
        <w:t xml:space="preserve">interaction </w:t>
      </w:r>
      <w:r w:rsidR="00BA3789">
        <w:t xml:space="preserve">with the SDE.  Finally, members will support the realisation of </w:t>
      </w:r>
      <w:r w:rsidR="00A51D8C">
        <w:t xml:space="preserve">TVS SDE </w:t>
      </w:r>
      <w:r w:rsidR="00BA3789">
        <w:t xml:space="preserve">benefits </w:t>
      </w:r>
      <w:r w:rsidR="00735109">
        <w:t xml:space="preserve">as </w:t>
      </w:r>
      <w:r w:rsidR="00BA3789">
        <w:t xml:space="preserve">set out by the </w:t>
      </w:r>
      <w:r w:rsidR="002D09A1">
        <w:t xml:space="preserve">TVS </w:t>
      </w:r>
      <w:r w:rsidR="00886DF6">
        <w:t xml:space="preserve">SDE </w:t>
      </w:r>
      <w:r w:rsidR="002D09A1">
        <w:t>Board</w:t>
      </w:r>
      <w:r w:rsidR="005F49BC">
        <w:t xml:space="preserve"> to </w:t>
      </w:r>
      <w:r w:rsidR="00D43065">
        <w:t>all stakeholders</w:t>
      </w:r>
      <w:r w:rsidR="00BA3789">
        <w:t xml:space="preserve">.  </w:t>
      </w:r>
    </w:p>
    <w:p w14:paraId="103F3341" w14:textId="77777777" w:rsidR="000E3FCC" w:rsidRPr="002546A3" w:rsidRDefault="000E3FCC" w:rsidP="000E3FCC">
      <w:pPr>
        <w:pStyle w:val="Heading1"/>
        <w:rPr>
          <w:rFonts w:asciiTheme="minorHAnsi" w:hAnsiTheme="minorHAnsi" w:cstheme="minorHAnsi"/>
        </w:rPr>
      </w:pPr>
      <w:r w:rsidRPr="002546A3">
        <w:rPr>
          <w:rFonts w:asciiTheme="minorHAnsi" w:hAnsiTheme="minorHAnsi" w:cstheme="minorHAnsi"/>
        </w:rPr>
        <w:t>Aims and responsibilities</w:t>
      </w:r>
    </w:p>
    <w:p w14:paraId="41456069" w14:textId="38F5C943" w:rsidR="000E3FCC" w:rsidRPr="008E1C11" w:rsidRDefault="000E3FCC" w:rsidP="000E3FCC">
      <w:r>
        <w:t xml:space="preserve">The </w:t>
      </w:r>
      <w:r w:rsidR="004A6689">
        <w:t>CRAC will</w:t>
      </w:r>
      <w:r>
        <w:t>:</w:t>
      </w:r>
    </w:p>
    <w:p w14:paraId="1D90772F" w14:textId="77777777" w:rsidR="000E3FCC" w:rsidRPr="002546A3" w:rsidRDefault="000E3FCC" w:rsidP="000E3FCC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2546A3">
        <w:rPr>
          <w:rFonts w:asciiTheme="minorHAnsi" w:eastAsia="Times New Roman" w:hAnsiTheme="minorHAnsi" w:cstheme="minorHAnsi"/>
          <w:b/>
          <w:bCs/>
        </w:rPr>
        <w:t>facilitate communication and collaboration</w:t>
      </w:r>
      <w:r w:rsidRPr="002546A3">
        <w:rPr>
          <w:rFonts w:asciiTheme="minorHAnsi" w:eastAsia="Times New Roman" w:hAnsiTheme="minorHAnsi" w:cstheme="minorHAnsi"/>
        </w:rPr>
        <w:t xml:space="preserve"> between the TVS SDE and its commercial stakeholders.</w:t>
      </w:r>
    </w:p>
    <w:p w14:paraId="4A391426" w14:textId="3D51E02D" w:rsidR="000E3FCC" w:rsidRPr="002546A3" w:rsidRDefault="000E3FCC" w:rsidP="06F413B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Bidi"/>
        </w:rPr>
      </w:pPr>
      <w:r w:rsidRPr="06F413B6">
        <w:rPr>
          <w:rFonts w:asciiTheme="minorHAnsi" w:eastAsia="Times New Roman" w:hAnsiTheme="minorHAnsi" w:cstheme="minorBidi"/>
          <w:b/>
          <w:bCs/>
        </w:rPr>
        <w:t xml:space="preserve">provide </w:t>
      </w:r>
      <w:r w:rsidR="00401DC4" w:rsidRPr="06F413B6">
        <w:rPr>
          <w:rFonts w:asciiTheme="minorHAnsi" w:eastAsia="Times New Roman" w:hAnsiTheme="minorHAnsi" w:cstheme="minorBidi"/>
          <w:b/>
          <w:bCs/>
        </w:rPr>
        <w:t>advice</w:t>
      </w:r>
      <w:r w:rsidRPr="06F413B6">
        <w:rPr>
          <w:rFonts w:asciiTheme="minorHAnsi" w:eastAsia="Times New Roman" w:hAnsiTheme="minorHAnsi" w:cstheme="minorBidi"/>
        </w:rPr>
        <w:t xml:space="preserve"> </w:t>
      </w:r>
      <w:r w:rsidR="00401DC4" w:rsidRPr="06F413B6">
        <w:rPr>
          <w:rFonts w:asciiTheme="minorHAnsi" w:eastAsia="Times New Roman" w:hAnsiTheme="minorHAnsi" w:cstheme="minorBidi"/>
          <w:b/>
          <w:bCs/>
        </w:rPr>
        <w:t>and guidance</w:t>
      </w:r>
      <w:r w:rsidR="00401DC4" w:rsidRPr="06F413B6">
        <w:rPr>
          <w:rFonts w:asciiTheme="minorHAnsi" w:eastAsia="Times New Roman" w:hAnsiTheme="minorHAnsi" w:cstheme="minorBidi"/>
        </w:rPr>
        <w:t xml:space="preserve"> </w:t>
      </w:r>
      <w:r w:rsidRPr="06F413B6">
        <w:rPr>
          <w:rFonts w:asciiTheme="minorHAnsi" w:eastAsia="Times New Roman" w:hAnsiTheme="minorHAnsi" w:cstheme="minorBidi"/>
        </w:rPr>
        <w:t>to the TVS SDE</w:t>
      </w:r>
      <w:r w:rsidR="008F3512" w:rsidRPr="06F413B6">
        <w:rPr>
          <w:rFonts w:asciiTheme="minorHAnsi" w:eastAsia="Times New Roman" w:hAnsiTheme="minorHAnsi" w:cstheme="minorBidi"/>
        </w:rPr>
        <w:t xml:space="preserve"> </w:t>
      </w:r>
      <w:r w:rsidRPr="06F413B6">
        <w:rPr>
          <w:rFonts w:asciiTheme="minorHAnsi" w:eastAsia="Times New Roman" w:hAnsiTheme="minorHAnsi" w:cstheme="minorBidi"/>
        </w:rPr>
        <w:t xml:space="preserve">regarding the commercial </w:t>
      </w:r>
      <w:r w:rsidR="65BD0FFA" w:rsidRPr="06F413B6">
        <w:rPr>
          <w:rFonts w:asciiTheme="minorHAnsi" w:eastAsia="Times New Roman" w:hAnsiTheme="minorHAnsi" w:cstheme="minorBidi"/>
        </w:rPr>
        <w:t>stakeholders'</w:t>
      </w:r>
      <w:r w:rsidRPr="06F413B6">
        <w:rPr>
          <w:rFonts w:asciiTheme="minorHAnsi" w:eastAsia="Times New Roman" w:hAnsiTheme="minorHAnsi" w:cstheme="minorBidi"/>
        </w:rPr>
        <w:t xml:space="preserve"> </w:t>
      </w:r>
      <w:r w:rsidR="00401DC4" w:rsidRPr="06F413B6">
        <w:rPr>
          <w:rFonts w:asciiTheme="minorHAnsi" w:eastAsia="Times New Roman" w:hAnsiTheme="minorHAnsi" w:cstheme="minorBidi"/>
        </w:rPr>
        <w:t xml:space="preserve">strategic </w:t>
      </w:r>
      <w:r w:rsidR="00682A09" w:rsidRPr="06F413B6">
        <w:rPr>
          <w:rFonts w:asciiTheme="minorHAnsi" w:eastAsia="Times New Roman" w:hAnsiTheme="minorHAnsi" w:cstheme="minorBidi"/>
        </w:rPr>
        <w:t xml:space="preserve">needs </w:t>
      </w:r>
      <w:r w:rsidRPr="06F413B6">
        <w:rPr>
          <w:rFonts w:asciiTheme="minorHAnsi" w:eastAsia="Times New Roman" w:hAnsiTheme="minorHAnsi" w:cstheme="minorBidi"/>
        </w:rPr>
        <w:t>and service development</w:t>
      </w:r>
      <w:r w:rsidR="00401DC4" w:rsidRPr="06F413B6">
        <w:rPr>
          <w:rFonts w:asciiTheme="minorHAnsi" w:eastAsia="Times New Roman" w:hAnsiTheme="minorHAnsi" w:cstheme="minorBidi"/>
        </w:rPr>
        <w:t xml:space="preserve"> priorities</w:t>
      </w:r>
      <w:r w:rsidRPr="06F413B6">
        <w:rPr>
          <w:rFonts w:asciiTheme="minorHAnsi" w:eastAsia="Times New Roman" w:hAnsiTheme="minorHAnsi" w:cstheme="minorBidi"/>
        </w:rPr>
        <w:t>.</w:t>
      </w:r>
    </w:p>
    <w:p w14:paraId="0AC6D9FD" w14:textId="4C3E4E03" w:rsidR="000E3FCC" w:rsidRPr="002546A3" w:rsidRDefault="00401DC4" w:rsidP="000E3FCC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2546A3">
        <w:rPr>
          <w:rFonts w:asciiTheme="minorHAnsi" w:eastAsia="Times New Roman" w:hAnsiTheme="minorHAnsi" w:cstheme="minorHAnsi"/>
          <w:b/>
          <w:bCs/>
        </w:rPr>
        <w:t>r</w:t>
      </w:r>
      <w:r w:rsidR="000E3FCC" w:rsidRPr="002546A3">
        <w:rPr>
          <w:rFonts w:asciiTheme="minorHAnsi" w:eastAsia="Times New Roman" w:hAnsiTheme="minorHAnsi" w:cstheme="minorHAnsi"/>
          <w:b/>
          <w:bCs/>
        </w:rPr>
        <w:t>epresent</w:t>
      </w:r>
      <w:r w:rsidRPr="002546A3">
        <w:rPr>
          <w:rFonts w:asciiTheme="minorHAnsi" w:eastAsia="Times New Roman" w:hAnsiTheme="minorHAnsi" w:cstheme="minorHAnsi"/>
          <w:b/>
          <w:bCs/>
        </w:rPr>
        <w:t xml:space="preserve"> the diversity of </w:t>
      </w:r>
      <w:r w:rsidR="000E3FCC" w:rsidRPr="002546A3">
        <w:rPr>
          <w:rFonts w:asciiTheme="minorHAnsi" w:eastAsia="Times New Roman" w:hAnsiTheme="minorHAnsi" w:cstheme="minorHAnsi"/>
          <w:b/>
          <w:bCs/>
        </w:rPr>
        <w:t>commercial interests</w:t>
      </w:r>
      <w:r w:rsidR="000E3FCC" w:rsidRPr="002546A3">
        <w:rPr>
          <w:rFonts w:asciiTheme="minorHAnsi" w:eastAsia="Times New Roman" w:hAnsiTheme="minorHAnsi" w:cstheme="minorHAnsi"/>
        </w:rPr>
        <w:t xml:space="preserve"> and stage</w:t>
      </w:r>
      <w:r w:rsidRPr="002546A3">
        <w:rPr>
          <w:rFonts w:asciiTheme="minorHAnsi" w:eastAsia="Times New Roman" w:hAnsiTheme="minorHAnsi" w:cstheme="minorHAnsi"/>
        </w:rPr>
        <w:t>s</w:t>
      </w:r>
      <w:r w:rsidR="000E3FCC" w:rsidRPr="002546A3">
        <w:rPr>
          <w:rFonts w:asciiTheme="minorHAnsi" w:eastAsia="Times New Roman" w:hAnsiTheme="minorHAnsi" w:cstheme="minorHAnsi"/>
        </w:rPr>
        <w:t xml:space="preserve"> (e</w:t>
      </w:r>
      <w:r w:rsidR="00682A09" w:rsidRPr="002546A3">
        <w:rPr>
          <w:rFonts w:asciiTheme="minorHAnsi" w:eastAsia="Times New Roman" w:hAnsiTheme="minorHAnsi" w:cstheme="minorHAnsi"/>
        </w:rPr>
        <w:t>.</w:t>
      </w:r>
      <w:r w:rsidR="000E3FCC" w:rsidRPr="002546A3">
        <w:rPr>
          <w:rFonts w:asciiTheme="minorHAnsi" w:eastAsia="Times New Roman" w:hAnsiTheme="minorHAnsi" w:cstheme="minorHAnsi"/>
        </w:rPr>
        <w:t>g</w:t>
      </w:r>
      <w:r w:rsidR="00682A09" w:rsidRPr="002546A3">
        <w:rPr>
          <w:rFonts w:asciiTheme="minorHAnsi" w:eastAsia="Times New Roman" w:hAnsiTheme="minorHAnsi" w:cstheme="minorHAnsi"/>
        </w:rPr>
        <w:t>.,</w:t>
      </w:r>
      <w:r w:rsidR="000E3FCC" w:rsidRPr="002546A3">
        <w:rPr>
          <w:rFonts w:asciiTheme="minorHAnsi" w:eastAsia="Times New Roman" w:hAnsiTheme="minorHAnsi" w:cstheme="minorHAnsi"/>
        </w:rPr>
        <w:t xml:space="preserve"> Startup, </w:t>
      </w:r>
      <w:r w:rsidR="00AA7850" w:rsidRPr="002546A3">
        <w:rPr>
          <w:rFonts w:asciiTheme="minorHAnsi" w:eastAsia="Times New Roman" w:hAnsiTheme="minorHAnsi" w:cstheme="minorHAnsi"/>
        </w:rPr>
        <w:t xml:space="preserve">Spin Out, </w:t>
      </w:r>
      <w:r w:rsidR="000E3FCC" w:rsidRPr="002546A3">
        <w:rPr>
          <w:rFonts w:asciiTheme="minorHAnsi" w:eastAsia="Times New Roman" w:hAnsiTheme="minorHAnsi" w:cstheme="minorHAnsi"/>
        </w:rPr>
        <w:t>SME, Established, Global).</w:t>
      </w:r>
    </w:p>
    <w:p w14:paraId="09A56CC5" w14:textId="61D4A5B4" w:rsidR="000E3FCC" w:rsidRPr="002546A3" w:rsidRDefault="001E1D8B" w:rsidP="000E3FCC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2546A3">
        <w:rPr>
          <w:rFonts w:asciiTheme="minorHAnsi" w:eastAsia="Times New Roman" w:hAnsiTheme="minorHAnsi" w:cstheme="minorHAnsi"/>
          <w:b/>
          <w:bCs/>
        </w:rPr>
        <w:t xml:space="preserve">advise on alignment of governance processes </w:t>
      </w:r>
      <w:r w:rsidR="000E3FCC" w:rsidRPr="002546A3">
        <w:rPr>
          <w:rFonts w:asciiTheme="minorHAnsi" w:eastAsia="Times New Roman" w:hAnsiTheme="minorHAnsi" w:cstheme="minorHAnsi"/>
        </w:rPr>
        <w:t>for</w:t>
      </w:r>
      <w:r w:rsidRPr="002546A3">
        <w:rPr>
          <w:rFonts w:asciiTheme="minorHAnsi" w:eastAsia="Times New Roman" w:hAnsiTheme="minorHAnsi" w:cstheme="minorHAnsi"/>
        </w:rPr>
        <w:t xml:space="preserve"> efficient</w:t>
      </w:r>
      <w:r w:rsidR="000E3FCC" w:rsidRPr="002546A3">
        <w:rPr>
          <w:rFonts w:asciiTheme="minorHAnsi" w:eastAsia="Times New Roman" w:hAnsiTheme="minorHAnsi" w:cstheme="minorHAnsi"/>
        </w:rPr>
        <w:t xml:space="preserve"> data request and access</w:t>
      </w:r>
      <w:r w:rsidRPr="002546A3">
        <w:rPr>
          <w:rFonts w:asciiTheme="minorHAnsi" w:eastAsia="Times New Roman" w:hAnsiTheme="minorHAnsi" w:cstheme="minorHAnsi"/>
        </w:rPr>
        <w:t xml:space="preserve"> for commercial use cases</w:t>
      </w:r>
      <w:r w:rsidR="000E3FCC" w:rsidRPr="002546A3">
        <w:rPr>
          <w:rFonts w:asciiTheme="minorHAnsi" w:eastAsia="Times New Roman" w:hAnsiTheme="minorHAnsi" w:cstheme="minorHAnsi"/>
        </w:rPr>
        <w:t xml:space="preserve">.  </w:t>
      </w:r>
    </w:p>
    <w:p w14:paraId="22B80158" w14:textId="64CAACAF" w:rsidR="001E1D8B" w:rsidRPr="002546A3" w:rsidRDefault="001E1D8B" w:rsidP="001E1D8B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2546A3">
        <w:rPr>
          <w:rFonts w:asciiTheme="minorHAnsi" w:eastAsia="Times New Roman" w:hAnsiTheme="minorHAnsi" w:cstheme="minorHAnsi"/>
          <w:b/>
          <w:bCs/>
        </w:rPr>
        <w:t xml:space="preserve">raise awareness of the TVS SDE </w:t>
      </w:r>
      <w:r w:rsidRPr="002546A3">
        <w:rPr>
          <w:rFonts w:asciiTheme="minorHAnsi" w:eastAsia="Times New Roman" w:hAnsiTheme="minorHAnsi" w:cstheme="minorHAnsi"/>
        </w:rPr>
        <w:t xml:space="preserve">within the commercial community </w:t>
      </w:r>
    </w:p>
    <w:p w14:paraId="1BA1780F" w14:textId="5DC8E04E" w:rsidR="001E1D8B" w:rsidRPr="002546A3" w:rsidRDefault="001E1D8B" w:rsidP="000E3FCC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2546A3">
        <w:rPr>
          <w:rFonts w:asciiTheme="minorHAnsi" w:eastAsia="Times New Roman" w:hAnsiTheme="minorHAnsi" w:cstheme="minorHAnsi"/>
          <w:b/>
          <w:bCs/>
        </w:rPr>
        <w:lastRenderedPageBreak/>
        <w:t xml:space="preserve">identify internal champions to promote and support maximising the impact of the TVS SDE </w:t>
      </w:r>
    </w:p>
    <w:p w14:paraId="662D6DD8" w14:textId="2CEBF2E2" w:rsidR="000E3FCC" w:rsidRPr="002546A3" w:rsidRDefault="0009067E" w:rsidP="000E3FCC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2546A3">
        <w:rPr>
          <w:rFonts w:asciiTheme="minorHAnsi" w:eastAsia="Times New Roman" w:hAnsiTheme="minorHAnsi" w:cstheme="minorHAnsi"/>
          <w:b/>
          <w:bCs/>
        </w:rPr>
        <w:t xml:space="preserve">Liaise </w:t>
      </w:r>
      <w:r w:rsidR="000E3FCC" w:rsidRPr="002546A3">
        <w:rPr>
          <w:rFonts w:asciiTheme="minorHAnsi" w:eastAsia="Times New Roman" w:hAnsiTheme="minorHAnsi" w:cstheme="minorHAnsi"/>
          <w:b/>
          <w:bCs/>
        </w:rPr>
        <w:t>with R&amp;D funders and charit</w:t>
      </w:r>
      <w:r w:rsidR="00464CC6" w:rsidRPr="002546A3">
        <w:rPr>
          <w:rFonts w:asciiTheme="minorHAnsi" w:eastAsia="Times New Roman" w:hAnsiTheme="minorHAnsi" w:cstheme="minorHAnsi"/>
          <w:b/>
          <w:bCs/>
        </w:rPr>
        <w:t>able</w:t>
      </w:r>
      <w:r w:rsidR="000E3FCC" w:rsidRPr="002546A3">
        <w:rPr>
          <w:rFonts w:asciiTheme="minorHAnsi" w:eastAsia="Times New Roman" w:hAnsiTheme="minorHAnsi" w:cstheme="minorHAnsi"/>
          <w:b/>
          <w:bCs/>
        </w:rPr>
        <w:t xml:space="preserve"> bodies</w:t>
      </w:r>
      <w:r w:rsidR="000E3FCC" w:rsidRPr="002546A3">
        <w:rPr>
          <w:rFonts w:asciiTheme="minorHAnsi" w:eastAsia="Times New Roman" w:hAnsiTheme="minorHAnsi" w:cstheme="minorHAnsi"/>
        </w:rPr>
        <w:t xml:space="preserve"> to </w:t>
      </w:r>
      <w:r w:rsidR="00162FC7" w:rsidRPr="002546A3">
        <w:rPr>
          <w:rFonts w:asciiTheme="minorHAnsi" w:eastAsia="Times New Roman" w:hAnsiTheme="minorHAnsi" w:cstheme="minorHAnsi"/>
        </w:rPr>
        <w:t xml:space="preserve">ensure TVS SDE costs can be included </w:t>
      </w:r>
      <w:r w:rsidR="000E3FCC" w:rsidRPr="002546A3">
        <w:rPr>
          <w:rFonts w:asciiTheme="minorHAnsi" w:eastAsia="Times New Roman" w:hAnsiTheme="minorHAnsi" w:cstheme="minorHAnsi"/>
        </w:rPr>
        <w:t>in funding awards.</w:t>
      </w:r>
    </w:p>
    <w:p w14:paraId="77DBF4AC" w14:textId="2277AAFF" w:rsidR="000E3FCC" w:rsidRPr="002546A3" w:rsidRDefault="000E3FCC" w:rsidP="000E3FCC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2546A3">
        <w:rPr>
          <w:rFonts w:asciiTheme="minorHAnsi" w:eastAsia="Times New Roman" w:hAnsiTheme="minorHAnsi" w:cstheme="minorHAnsi"/>
          <w:b/>
          <w:bCs/>
        </w:rPr>
        <w:t>support</w:t>
      </w:r>
      <w:r w:rsidRPr="002546A3">
        <w:rPr>
          <w:rFonts w:asciiTheme="minorHAnsi" w:eastAsia="Times New Roman" w:hAnsiTheme="minorHAnsi" w:cstheme="minorHAnsi"/>
        </w:rPr>
        <w:t xml:space="preserve"> </w:t>
      </w:r>
      <w:r w:rsidRPr="002546A3">
        <w:rPr>
          <w:rFonts w:asciiTheme="minorHAnsi" w:eastAsia="Times New Roman" w:hAnsiTheme="minorHAnsi" w:cstheme="minorHAnsi"/>
          <w:b/>
          <w:bCs/>
        </w:rPr>
        <w:t xml:space="preserve">TVS SDE </w:t>
      </w:r>
      <w:r w:rsidR="002B2FF8" w:rsidRPr="002546A3">
        <w:rPr>
          <w:rFonts w:asciiTheme="minorHAnsi" w:eastAsia="Times New Roman" w:hAnsiTheme="minorHAnsi" w:cstheme="minorHAnsi"/>
          <w:b/>
          <w:bCs/>
        </w:rPr>
        <w:t xml:space="preserve">to promote collaboration </w:t>
      </w:r>
      <w:r w:rsidRPr="002546A3">
        <w:rPr>
          <w:rFonts w:asciiTheme="minorHAnsi" w:eastAsia="Times New Roman" w:hAnsiTheme="minorHAnsi" w:cstheme="minorHAnsi"/>
          <w:b/>
          <w:bCs/>
        </w:rPr>
        <w:t xml:space="preserve">with </w:t>
      </w:r>
      <w:r w:rsidR="001F5BAA" w:rsidRPr="002546A3">
        <w:rPr>
          <w:rFonts w:asciiTheme="minorHAnsi" w:eastAsia="Times New Roman" w:hAnsiTheme="minorHAnsi" w:cstheme="minorHAnsi"/>
          <w:b/>
          <w:bCs/>
        </w:rPr>
        <w:t>other SDEs</w:t>
      </w:r>
      <w:r w:rsidR="001F5BAA" w:rsidRPr="002546A3">
        <w:rPr>
          <w:rFonts w:asciiTheme="minorHAnsi" w:eastAsia="Times New Roman" w:hAnsiTheme="minorHAnsi" w:cstheme="minorHAnsi"/>
        </w:rPr>
        <w:t xml:space="preserve"> and </w:t>
      </w:r>
      <w:r w:rsidRPr="002546A3">
        <w:rPr>
          <w:rFonts w:asciiTheme="minorHAnsi" w:eastAsia="Times New Roman" w:hAnsiTheme="minorHAnsi" w:cstheme="minorHAnsi"/>
        </w:rPr>
        <w:t xml:space="preserve">the </w:t>
      </w:r>
      <w:r w:rsidR="00601BAB" w:rsidRPr="002546A3">
        <w:rPr>
          <w:rFonts w:asciiTheme="minorHAnsi" w:eastAsia="Times New Roman" w:hAnsiTheme="minorHAnsi" w:cstheme="minorHAnsi"/>
        </w:rPr>
        <w:t>SDE Southern Consortium (</w:t>
      </w:r>
      <w:proofErr w:type="spellStart"/>
      <w:r w:rsidR="00601BAB" w:rsidRPr="002546A3">
        <w:rPr>
          <w:rFonts w:asciiTheme="minorHAnsi" w:eastAsia="Times New Roman" w:hAnsiTheme="minorHAnsi" w:cstheme="minorHAnsi"/>
        </w:rPr>
        <w:t>SoCo</w:t>
      </w:r>
      <w:proofErr w:type="spellEnd"/>
      <w:r w:rsidR="00601BAB" w:rsidRPr="002546A3">
        <w:rPr>
          <w:rFonts w:asciiTheme="minorHAnsi" w:eastAsia="Times New Roman" w:hAnsiTheme="minorHAnsi" w:cstheme="minorHAnsi"/>
        </w:rPr>
        <w:t>)</w:t>
      </w:r>
      <w:r w:rsidR="004645C2" w:rsidRPr="002546A3">
        <w:rPr>
          <w:rFonts w:asciiTheme="minorHAnsi" w:eastAsia="Times New Roman" w:hAnsiTheme="minorHAnsi" w:cstheme="minorHAnsi"/>
        </w:rPr>
        <w:t xml:space="preserve"> in particular</w:t>
      </w:r>
      <w:r w:rsidRPr="002546A3">
        <w:rPr>
          <w:rFonts w:asciiTheme="minorHAnsi" w:eastAsia="Times New Roman" w:hAnsiTheme="minorHAnsi" w:cstheme="minorHAnsi"/>
        </w:rPr>
        <w:t>.</w:t>
      </w:r>
    </w:p>
    <w:p w14:paraId="3E398898" w14:textId="509A344E" w:rsidR="0005163E" w:rsidRPr="002546A3" w:rsidRDefault="000E3FCC" w:rsidP="000E3F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546A3">
        <w:rPr>
          <w:rFonts w:asciiTheme="minorHAnsi" w:eastAsia="Times New Roman" w:hAnsiTheme="minorHAnsi" w:cstheme="minorHAnsi"/>
          <w:b/>
          <w:bCs/>
        </w:rPr>
        <w:t xml:space="preserve">represent the TVS </w:t>
      </w:r>
      <w:r w:rsidR="00492F94" w:rsidRPr="002546A3">
        <w:rPr>
          <w:rFonts w:asciiTheme="minorHAnsi" w:eastAsia="Times New Roman" w:hAnsiTheme="minorHAnsi" w:cstheme="minorHAnsi"/>
          <w:b/>
          <w:bCs/>
        </w:rPr>
        <w:t xml:space="preserve">SDE </w:t>
      </w:r>
      <w:r w:rsidRPr="002546A3">
        <w:rPr>
          <w:rFonts w:asciiTheme="minorHAnsi" w:eastAsia="Times New Roman" w:hAnsiTheme="minorHAnsi" w:cstheme="minorHAnsi"/>
          <w:b/>
          <w:bCs/>
        </w:rPr>
        <w:t>commercial stakeholders</w:t>
      </w:r>
      <w:r w:rsidRPr="002546A3">
        <w:rPr>
          <w:rFonts w:asciiTheme="minorHAnsi" w:eastAsia="Times New Roman" w:hAnsiTheme="minorHAnsi" w:cstheme="minorHAnsi"/>
        </w:rPr>
        <w:t xml:space="preserve"> </w:t>
      </w:r>
      <w:r w:rsidR="00522AEC" w:rsidRPr="002546A3">
        <w:rPr>
          <w:rFonts w:asciiTheme="minorHAnsi" w:eastAsia="Times New Roman" w:hAnsiTheme="minorHAnsi" w:cstheme="minorHAnsi"/>
        </w:rPr>
        <w:t>in the national context</w:t>
      </w:r>
      <w:r w:rsidRPr="002546A3">
        <w:rPr>
          <w:rFonts w:asciiTheme="minorHAnsi" w:eastAsia="Times New Roman" w:hAnsiTheme="minorHAnsi" w:cstheme="minorHAnsi"/>
        </w:rPr>
        <w:t>.</w:t>
      </w:r>
    </w:p>
    <w:p w14:paraId="4C465854" w14:textId="233137BD" w:rsidR="000E3FCC" w:rsidRPr="002546A3" w:rsidRDefault="000E3FCC" w:rsidP="06F413B6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 w:rsidRPr="06F413B6">
        <w:rPr>
          <w:rFonts w:asciiTheme="minorHAnsi" w:hAnsiTheme="minorHAnsi" w:cstheme="minorBidi"/>
          <w:b/>
          <w:bCs/>
        </w:rPr>
        <w:t>promote collaborative opportunities</w:t>
      </w:r>
      <w:r w:rsidRPr="06F413B6">
        <w:rPr>
          <w:rFonts w:asciiTheme="minorHAnsi" w:hAnsiTheme="minorHAnsi" w:cstheme="minorBidi"/>
        </w:rPr>
        <w:t xml:space="preserve"> for health data research initiatives (for example</w:t>
      </w:r>
      <w:r w:rsidR="005F0B67" w:rsidRPr="06F413B6">
        <w:rPr>
          <w:rFonts w:asciiTheme="minorHAnsi" w:hAnsiTheme="minorHAnsi" w:cstheme="minorBidi"/>
        </w:rPr>
        <w:t>,</w:t>
      </w:r>
      <w:r w:rsidRPr="06F413B6">
        <w:rPr>
          <w:rFonts w:asciiTheme="minorHAnsi" w:hAnsiTheme="minorHAnsi" w:cstheme="minorBidi"/>
        </w:rPr>
        <w:t xml:space="preserve"> around particular clinical </w:t>
      </w:r>
      <w:r w:rsidR="00496FF9" w:rsidRPr="06F413B6">
        <w:rPr>
          <w:rFonts w:asciiTheme="minorHAnsi" w:hAnsiTheme="minorHAnsi" w:cstheme="minorBidi"/>
        </w:rPr>
        <w:t xml:space="preserve">specialities </w:t>
      </w:r>
      <w:r w:rsidRPr="06F413B6">
        <w:rPr>
          <w:rFonts w:asciiTheme="minorHAnsi" w:hAnsiTheme="minorHAnsi" w:cstheme="minorBidi"/>
        </w:rPr>
        <w:t>or disease themes).</w:t>
      </w:r>
    </w:p>
    <w:p w14:paraId="5E57C8D5" w14:textId="65206496" w:rsidR="00446A91" w:rsidRPr="002546A3" w:rsidRDefault="00A31923" w:rsidP="00446A91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2546A3">
        <w:rPr>
          <w:rFonts w:asciiTheme="minorHAnsi" w:eastAsia="Times New Roman" w:hAnsiTheme="minorHAnsi" w:cstheme="minorHAnsi"/>
          <w:b/>
          <w:bCs/>
        </w:rPr>
        <w:t>provid</w:t>
      </w:r>
      <w:r w:rsidR="009F5408" w:rsidRPr="002546A3">
        <w:rPr>
          <w:rFonts w:asciiTheme="minorHAnsi" w:eastAsia="Times New Roman" w:hAnsiTheme="minorHAnsi" w:cstheme="minorHAnsi"/>
          <w:b/>
          <w:bCs/>
        </w:rPr>
        <w:t>e</w:t>
      </w:r>
      <w:r w:rsidRPr="002546A3">
        <w:rPr>
          <w:rFonts w:asciiTheme="minorHAnsi" w:eastAsia="Times New Roman" w:hAnsiTheme="minorHAnsi" w:cstheme="minorHAnsi"/>
          <w:b/>
          <w:bCs/>
        </w:rPr>
        <w:t xml:space="preserve"> </w:t>
      </w:r>
      <w:r w:rsidR="00A42D81" w:rsidRPr="002546A3">
        <w:rPr>
          <w:rFonts w:asciiTheme="minorHAnsi" w:eastAsia="Times New Roman" w:hAnsiTheme="minorHAnsi" w:cstheme="minorHAnsi"/>
          <w:b/>
          <w:bCs/>
        </w:rPr>
        <w:t xml:space="preserve">feedback </w:t>
      </w:r>
      <w:r w:rsidR="009F5408" w:rsidRPr="002546A3">
        <w:rPr>
          <w:rFonts w:asciiTheme="minorHAnsi" w:eastAsia="Times New Roman" w:hAnsiTheme="minorHAnsi" w:cstheme="minorHAnsi"/>
          <w:b/>
          <w:bCs/>
        </w:rPr>
        <w:t xml:space="preserve">and constructive advice on </w:t>
      </w:r>
      <w:r w:rsidR="00E31A56" w:rsidRPr="002546A3">
        <w:rPr>
          <w:rFonts w:asciiTheme="minorHAnsi" w:eastAsia="Times New Roman" w:hAnsiTheme="minorHAnsi" w:cstheme="minorHAnsi"/>
          <w:b/>
          <w:bCs/>
        </w:rPr>
        <w:t xml:space="preserve">SDE Operations, Process and Environment </w:t>
      </w:r>
      <w:r w:rsidR="00C5663D" w:rsidRPr="002546A3">
        <w:rPr>
          <w:rFonts w:asciiTheme="minorHAnsi" w:eastAsia="Times New Roman" w:hAnsiTheme="minorHAnsi" w:cstheme="minorHAnsi"/>
        </w:rPr>
        <w:t xml:space="preserve">– for example </w:t>
      </w:r>
      <w:r w:rsidR="00A42D81" w:rsidRPr="002546A3">
        <w:rPr>
          <w:rFonts w:asciiTheme="minorHAnsi" w:eastAsia="Times New Roman" w:hAnsiTheme="minorHAnsi" w:cstheme="minorHAnsi"/>
        </w:rPr>
        <w:t>software requirements, user interface designs, governance flows and user experience considerations.</w:t>
      </w:r>
    </w:p>
    <w:p w14:paraId="7A082EFF" w14:textId="77777777" w:rsidR="00443385" w:rsidRDefault="00443385" w:rsidP="00DA36D6"/>
    <w:p w14:paraId="5B168BBA" w14:textId="6CC26E23" w:rsidR="00A42D81" w:rsidRPr="00443385" w:rsidRDefault="007F53A7" w:rsidP="00443385">
      <w:pPr>
        <w:rPr>
          <w:rFonts w:eastAsia="Times New Roman"/>
        </w:rPr>
      </w:pPr>
      <w:r>
        <w:t xml:space="preserve">N.B. </w:t>
      </w:r>
      <w:r w:rsidR="00446A91">
        <w:t>CRAC</w:t>
      </w:r>
      <w:r w:rsidR="00446A91" w:rsidRPr="00446A91">
        <w:t xml:space="preserve"> will </w:t>
      </w:r>
      <w:r w:rsidR="00446A91" w:rsidRPr="00443385">
        <w:rPr>
          <w:u w:val="single"/>
        </w:rPr>
        <w:t>not</w:t>
      </w:r>
      <w:r w:rsidR="00446A91" w:rsidRPr="00446A91">
        <w:t xml:space="preserve"> form part of the selection and approval processes for </w:t>
      </w:r>
      <w:r w:rsidR="00446A91">
        <w:t>data requests</w:t>
      </w:r>
      <w:r w:rsidR="00A04DDF">
        <w:t>.</w:t>
      </w:r>
    </w:p>
    <w:p w14:paraId="2969C108" w14:textId="6E03FD49" w:rsidR="0014629B" w:rsidRPr="002546A3" w:rsidRDefault="0014629B" w:rsidP="00D318CE">
      <w:pPr>
        <w:pStyle w:val="Heading1"/>
        <w:rPr>
          <w:rFonts w:asciiTheme="minorHAnsi" w:hAnsiTheme="minorHAnsi" w:cstheme="minorHAnsi"/>
        </w:rPr>
      </w:pPr>
      <w:r w:rsidRPr="002546A3">
        <w:rPr>
          <w:rFonts w:asciiTheme="minorHAnsi" w:hAnsiTheme="minorHAnsi" w:cstheme="minorHAnsi"/>
        </w:rPr>
        <w:t>Membership</w:t>
      </w:r>
    </w:p>
    <w:p w14:paraId="2D3BDA94" w14:textId="2D782C7D" w:rsidR="00D25EEB" w:rsidRDefault="00D25EEB" w:rsidP="00D25EEB">
      <w:r>
        <w:t>The CRAC comprises the following individuals: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92"/>
        <w:gridCol w:w="5416"/>
      </w:tblGrid>
      <w:tr w:rsidR="00D25EEB" w:rsidRPr="00B35AFE" w14:paraId="70024B97" w14:textId="77777777" w:rsidTr="4D509898">
        <w:tc>
          <w:tcPr>
            <w:tcW w:w="3544" w:type="dxa"/>
          </w:tcPr>
          <w:p w14:paraId="6C3D22F9" w14:textId="77777777" w:rsidR="00D25EEB" w:rsidRPr="0010432B" w:rsidRDefault="00D25EEB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</w:pPr>
            <w:r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>Role</w:t>
            </w:r>
          </w:p>
        </w:tc>
        <w:tc>
          <w:tcPr>
            <w:tcW w:w="5528" w:type="dxa"/>
          </w:tcPr>
          <w:p w14:paraId="0073A80B" w14:textId="77777777" w:rsidR="00D25EEB" w:rsidRPr="0010432B" w:rsidRDefault="00D25EEB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</w:pPr>
            <w:r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>Function</w:t>
            </w:r>
          </w:p>
        </w:tc>
      </w:tr>
      <w:tr w:rsidR="00D25EEB" w:rsidRPr="00B35AFE" w14:paraId="12039CE7" w14:textId="77777777" w:rsidTr="4D509898">
        <w:tc>
          <w:tcPr>
            <w:tcW w:w="3544" w:type="dxa"/>
          </w:tcPr>
          <w:p w14:paraId="231AD665" w14:textId="0C6AC3F0" w:rsidR="00D25EEB" w:rsidRPr="0010432B" w:rsidRDefault="00356207">
            <w:pPr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</w:pPr>
            <w:r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>Commercial representatives</w:t>
            </w:r>
          </w:p>
          <w:p w14:paraId="579FAD58" w14:textId="77777777" w:rsidR="00D25EEB" w:rsidRPr="0010432B" w:rsidRDefault="00D25EEB">
            <w:pPr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528" w:type="dxa"/>
          </w:tcPr>
          <w:p w14:paraId="23C9DBD7" w14:textId="65817CE6" w:rsidR="00D25EEB" w:rsidRPr="0010432B" w:rsidRDefault="00D25EEB" w:rsidP="06F413B6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</w:pPr>
            <w:r w:rsidRPr="06F413B6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 xml:space="preserve">Representing </w:t>
            </w:r>
            <w:r w:rsidR="5362FAE5" w:rsidRPr="06F413B6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 xml:space="preserve">commercial </w:t>
            </w:r>
            <w:r w:rsidR="00E528FF" w:rsidRPr="06F413B6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 xml:space="preserve">perspectives </w:t>
            </w:r>
            <w:r w:rsidR="5362FAE5" w:rsidRPr="06F413B6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>(see appendix one)</w:t>
            </w:r>
          </w:p>
        </w:tc>
      </w:tr>
      <w:tr w:rsidR="00D25EEB" w:rsidRPr="00B35AFE" w14:paraId="53598560" w14:textId="77777777" w:rsidTr="4D509898">
        <w:tc>
          <w:tcPr>
            <w:tcW w:w="3544" w:type="dxa"/>
          </w:tcPr>
          <w:p w14:paraId="2FA6FC92" w14:textId="589E3DDC" w:rsidR="00D25EEB" w:rsidRPr="0010432B" w:rsidRDefault="00370084" w:rsidP="06F413B6">
            <w:pPr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</w:pPr>
            <w:r w:rsidRPr="06F413B6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>Commercial lead</w:t>
            </w:r>
            <w:r w:rsidR="00A96D49" w:rsidRPr="06F413B6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Pr="06F413B6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>TVS SDE</w:t>
            </w:r>
          </w:p>
        </w:tc>
        <w:tc>
          <w:tcPr>
            <w:tcW w:w="5528" w:type="dxa"/>
          </w:tcPr>
          <w:p w14:paraId="34343EC9" w14:textId="26B644EA" w:rsidR="00D25EEB" w:rsidRPr="0010432B" w:rsidRDefault="00982F69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</w:pPr>
            <w:r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 xml:space="preserve">Representing </w:t>
            </w:r>
            <w:r w:rsidR="000237B1"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 xml:space="preserve">commercial perspective for the TVS SDE </w:t>
            </w:r>
            <w:proofErr w:type="spellStart"/>
            <w:r w:rsidR="000237B1"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>programme</w:t>
            </w:r>
            <w:proofErr w:type="spellEnd"/>
          </w:p>
        </w:tc>
      </w:tr>
      <w:tr w:rsidR="00FE771B" w:rsidRPr="00B35AFE" w14:paraId="147855A6" w14:textId="77777777" w:rsidTr="4D509898">
        <w:tc>
          <w:tcPr>
            <w:tcW w:w="3544" w:type="dxa"/>
          </w:tcPr>
          <w:p w14:paraId="6472927F" w14:textId="5DA5B7A1" w:rsidR="00FE771B" w:rsidRPr="0010432B" w:rsidRDefault="009E295B" w:rsidP="4D509898">
            <w:pPr>
              <w:spacing w:before="100" w:beforeAutospacing="1" w:after="100" w:afterAutospacing="1"/>
              <w:rPr>
                <w:rFonts w:eastAsia="Times New Roman"/>
                <w:lang w:eastAsia="en-GB"/>
                <w14:ligatures w14:val="none"/>
              </w:rPr>
            </w:pPr>
            <w:r w:rsidRPr="4D509898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>Health Innovation Network</w:t>
            </w:r>
            <w:r w:rsidR="48A10428" w:rsidRPr="4D509898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>s</w:t>
            </w:r>
            <w:r w:rsidRPr="4D509898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 xml:space="preserve"> representative</w:t>
            </w:r>
          </w:p>
        </w:tc>
        <w:tc>
          <w:tcPr>
            <w:tcW w:w="5528" w:type="dxa"/>
          </w:tcPr>
          <w:p w14:paraId="1A6AF652" w14:textId="27E8053F" w:rsidR="00FE771B" w:rsidRPr="0010432B" w:rsidRDefault="00B7694A" w:rsidP="4D509898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</w:pPr>
            <w:r w:rsidRPr="4D509898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>Representing</w:t>
            </w:r>
            <w:r w:rsidR="004B5746" w:rsidRPr="4D509898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6ED797B5" w:rsidRPr="4D509898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>the TVS SDE region</w:t>
            </w:r>
          </w:p>
        </w:tc>
      </w:tr>
      <w:tr w:rsidR="00D25EEB" w:rsidRPr="00B35AFE" w14:paraId="12FC792C" w14:textId="77777777" w:rsidTr="4D509898">
        <w:tc>
          <w:tcPr>
            <w:tcW w:w="3544" w:type="dxa"/>
          </w:tcPr>
          <w:p w14:paraId="58989569" w14:textId="5BBD9EAB" w:rsidR="00D25EEB" w:rsidRPr="0010432B" w:rsidRDefault="00D25EEB" w:rsidP="06F413B6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</w:pPr>
            <w:r w:rsidRPr="06F413B6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>PPIE lead</w:t>
            </w:r>
            <w:r w:rsidR="00370084" w:rsidRPr="06F413B6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>, TVS SDE</w:t>
            </w:r>
          </w:p>
        </w:tc>
        <w:tc>
          <w:tcPr>
            <w:tcW w:w="5528" w:type="dxa"/>
          </w:tcPr>
          <w:p w14:paraId="70A8B389" w14:textId="77777777" w:rsidR="00D25EEB" w:rsidRPr="0010432B" w:rsidRDefault="00D25EEB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</w:pPr>
            <w:r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>With responsibility for patient and public involvement, engagement, and experience</w:t>
            </w:r>
          </w:p>
        </w:tc>
      </w:tr>
      <w:tr w:rsidR="00D25EEB" w:rsidRPr="00B35AFE" w14:paraId="484A639C" w14:textId="77777777" w:rsidTr="4D509898">
        <w:tc>
          <w:tcPr>
            <w:tcW w:w="3544" w:type="dxa"/>
          </w:tcPr>
          <w:p w14:paraId="7AC13DC2" w14:textId="738E11B7" w:rsidR="00D25EEB" w:rsidRPr="0010432B" w:rsidRDefault="00D25EEB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</w:pPr>
            <w:r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 xml:space="preserve">Public </w:t>
            </w:r>
            <w:r w:rsidR="00C07D15"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>Member</w:t>
            </w:r>
            <w:r w:rsidR="00CF2D1F"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>(</w:t>
            </w:r>
            <w:r w:rsidR="00C07D15"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>s</w:t>
            </w:r>
            <w:r w:rsidR="00CF2D1F"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5528" w:type="dxa"/>
          </w:tcPr>
          <w:p w14:paraId="626B4531" w14:textId="77777777" w:rsidR="00D25EEB" w:rsidRPr="0010432B" w:rsidRDefault="00D25EEB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</w:pPr>
            <w:r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 xml:space="preserve">Representing the patient and public perspective </w:t>
            </w:r>
          </w:p>
        </w:tc>
      </w:tr>
      <w:tr w:rsidR="00D25EEB" w:rsidRPr="00B35AFE" w14:paraId="0C068206" w14:textId="77777777" w:rsidTr="4D509898">
        <w:tc>
          <w:tcPr>
            <w:tcW w:w="3544" w:type="dxa"/>
          </w:tcPr>
          <w:p w14:paraId="68DC2658" w14:textId="77DB7AC6" w:rsidR="00D25EEB" w:rsidRPr="0010432B" w:rsidRDefault="00EB4067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</w:pPr>
            <w:r w:rsidRPr="006B0907">
              <w:rPr>
                <w:rFonts w:cs="Arial"/>
                <w:sz w:val="22"/>
                <w:szCs w:val="22"/>
              </w:rPr>
              <w:t>Health &amp; Care Member</w:t>
            </w:r>
            <w:r w:rsidR="00CC43E2">
              <w:rPr>
                <w:rFonts w:cs="Arial"/>
                <w:sz w:val="22"/>
                <w:szCs w:val="22"/>
              </w:rPr>
              <w:t>(</w:t>
            </w:r>
            <w:r w:rsidRPr="006B0907">
              <w:rPr>
                <w:rFonts w:cs="Arial"/>
                <w:sz w:val="22"/>
                <w:szCs w:val="22"/>
              </w:rPr>
              <w:t>s</w:t>
            </w:r>
            <w:r w:rsidR="00CC43E2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5528" w:type="dxa"/>
          </w:tcPr>
          <w:p w14:paraId="60B7F388" w14:textId="0266FAA9" w:rsidR="00D25EEB" w:rsidRPr="0010432B" w:rsidRDefault="00D25EEB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</w:pPr>
            <w:r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 xml:space="preserve">representing </w:t>
            </w:r>
            <w:r w:rsidR="00046777" w:rsidRPr="006B0907">
              <w:rPr>
                <w:rFonts w:cs="Arial"/>
                <w:sz w:val="22"/>
                <w:szCs w:val="22"/>
              </w:rPr>
              <w:t xml:space="preserve">a range of professional backgrounds across different sectors </w:t>
            </w:r>
            <w:r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 xml:space="preserve">within their geographical area </w:t>
            </w:r>
          </w:p>
        </w:tc>
      </w:tr>
      <w:tr w:rsidR="00D25EEB" w:rsidRPr="00B35AFE" w14:paraId="625BB8C5" w14:textId="77777777" w:rsidTr="4D509898">
        <w:tc>
          <w:tcPr>
            <w:tcW w:w="3544" w:type="dxa"/>
          </w:tcPr>
          <w:p w14:paraId="08AA5852" w14:textId="652D2889" w:rsidR="00D25EEB" w:rsidRPr="0010432B" w:rsidRDefault="00D25EEB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</w:pPr>
            <w:r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 xml:space="preserve">Director, TVS SDE </w:t>
            </w:r>
          </w:p>
        </w:tc>
        <w:tc>
          <w:tcPr>
            <w:tcW w:w="5528" w:type="dxa"/>
          </w:tcPr>
          <w:p w14:paraId="0A0AFB6A" w14:textId="77777777" w:rsidR="00D25EEB" w:rsidRPr="0010432B" w:rsidRDefault="00D25EEB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</w:pPr>
            <w:r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 xml:space="preserve">Representing the TVS SDE </w:t>
            </w:r>
            <w:proofErr w:type="spellStart"/>
            <w:r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>programme</w:t>
            </w:r>
            <w:proofErr w:type="spellEnd"/>
          </w:p>
        </w:tc>
      </w:tr>
      <w:tr w:rsidR="00D25EEB" w:rsidRPr="00B35AFE" w14:paraId="05F9E3A0" w14:textId="77777777" w:rsidTr="4D509898">
        <w:tc>
          <w:tcPr>
            <w:tcW w:w="3544" w:type="dxa"/>
          </w:tcPr>
          <w:p w14:paraId="73CC3E4C" w14:textId="3E8FADAA" w:rsidR="00D25EEB" w:rsidRPr="0010432B" w:rsidRDefault="4F562D25" w:rsidP="06F413B6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</w:pPr>
            <w:r w:rsidRPr="06F413B6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 xml:space="preserve">Project </w:t>
            </w:r>
            <w:r w:rsidR="00D25EEB" w:rsidRPr="06F413B6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>Support Manager</w:t>
            </w:r>
            <w:r w:rsidR="00370084" w:rsidRPr="06F413B6">
              <w:rPr>
                <w:rFonts w:eastAsia="Times New Roman"/>
                <w:sz w:val="22"/>
                <w:szCs w:val="22"/>
                <w:lang w:eastAsia="en-GB"/>
                <w14:ligatures w14:val="none"/>
              </w:rPr>
              <w:t>, TVS SDE</w:t>
            </w:r>
          </w:p>
        </w:tc>
        <w:tc>
          <w:tcPr>
            <w:tcW w:w="5528" w:type="dxa"/>
          </w:tcPr>
          <w:p w14:paraId="7D7ED68D" w14:textId="77777777" w:rsidR="00D25EEB" w:rsidRPr="0010432B" w:rsidRDefault="00D25EEB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</w:pPr>
            <w:r w:rsidRPr="0010432B">
              <w:rPr>
                <w:rFonts w:eastAsia="Times New Roman" w:cstheme="minorHAnsi"/>
                <w:sz w:val="22"/>
                <w:szCs w:val="22"/>
                <w:lang w:eastAsia="en-GB"/>
                <w14:ligatures w14:val="none"/>
              </w:rPr>
              <w:t>Minutes, secretariat (non-voting)</w:t>
            </w:r>
          </w:p>
        </w:tc>
      </w:tr>
    </w:tbl>
    <w:p w14:paraId="537C41FE" w14:textId="77777777" w:rsidR="00A96D49" w:rsidRPr="002546A3" w:rsidRDefault="00A96D49" w:rsidP="00A96D49">
      <w:pPr>
        <w:spacing w:after="0" w:line="240" w:lineRule="auto"/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</w:p>
    <w:p w14:paraId="119BF9CF" w14:textId="3573A26D" w:rsidR="00A96D49" w:rsidRPr="002546A3" w:rsidRDefault="00626AB5" w:rsidP="06F413B6">
      <w:pPr>
        <w:spacing w:after="0" w:line="240" w:lineRule="auto"/>
        <w:textAlignment w:val="baseline"/>
        <w:rPr>
          <w:rFonts w:eastAsia="Times New Roman"/>
          <w:kern w:val="0"/>
          <w:lang w:eastAsia="en-GB"/>
          <w14:ligatures w14:val="none"/>
        </w:rPr>
      </w:pPr>
      <w:r w:rsidRPr="06F413B6">
        <w:rPr>
          <w:rFonts w:eastAsia="Times New Roman"/>
          <w:kern w:val="0"/>
          <w:lang w:eastAsia="en-GB"/>
          <w14:ligatures w14:val="none"/>
        </w:rPr>
        <w:t xml:space="preserve">For the first six months the </w:t>
      </w:r>
      <w:r w:rsidR="00370084" w:rsidRPr="06F413B6">
        <w:rPr>
          <w:rFonts w:eastAsia="Times New Roman"/>
          <w:kern w:val="0"/>
          <w:lang w:eastAsia="en-GB"/>
          <w14:ligatures w14:val="none"/>
        </w:rPr>
        <w:t>TVS SDE Commercial Lead</w:t>
      </w:r>
      <w:r w:rsidRPr="06F413B6">
        <w:rPr>
          <w:rFonts w:eastAsia="Times New Roman"/>
          <w:kern w:val="0"/>
          <w:lang w:eastAsia="en-GB"/>
          <w14:ligatures w14:val="none"/>
        </w:rPr>
        <w:t xml:space="preserve"> </w:t>
      </w:r>
      <w:r w:rsidR="00695435" w:rsidRPr="06F413B6">
        <w:rPr>
          <w:rFonts w:eastAsia="Times New Roman"/>
          <w:kern w:val="0"/>
          <w:lang w:eastAsia="en-GB"/>
          <w14:ligatures w14:val="none"/>
        </w:rPr>
        <w:t xml:space="preserve">will act as interim chair. </w:t>
      </w:r>
      <w:r w:rsidR="00A96D49" w:rsidRPr="06F413B6">
        <w:rPr>
          <w:rFonts w:eastAsia="Times New Roman"/>
          <w:kern w:val="0"/>
          <w:lang w:eastAsia="en-GB"/>
          <w14:ligatures w14:val="none"/>
        </w:rPr>
        <w:t xml:space="preserve">The committee shall </w:t>
      </w:r>
      <w:r w:rsidR="00695435" w:rsidRPr="06F413B6">
        <w:rPr>
          <w:rFonts w:eastAsia="Times New Roman"/>
          <w:kern w:val="0"/>
          <w:lang w:eastAsia="en-GB"/>
          <w14:ligatures w14:val="none"/>
        </w:rPr>
        <w:t xml:space="preserve">then </w:t>
      </w:r>
      <w:r w:rsidR="00A96D49" w:rsidRPr="06F413B6">
        <w:rPr>
          <w:rFonts w:eastAsia="Times New Roman"/>
          <w:kern w:val="0"/>
          <w:lang w:eastAsia="en-GB"/>
          <w14:ligatures w14:val="none"/>
        </w:rPr>
        <w:t>nominate</w:t>
      </w:r>
      <w:r w:rsidR="00695435" w:rsidRPr="06F413B6">
        <w:rPr>
          <w:rFonts w:eastAsia="Times New Roman"/>
          <w:kern w:val="0"/>
          <w:lang w:eastAsia="en-GB"/>
          <w14:ligatures w14:val="none"/>
        </w:rPr>
        <w:t xml:space="preserve"> </w:t>
      </w:r>
      <w:r w:rsidR="00013230" w:rsidRPr="06F413B6">
        <w:rPr>
          <w:rFonts w:eastAsia="Times New Roman"/>
          <w:kern w:val="0"/>
          <w:lang w:eastAsia="en-GB"/>
          <w14:ligatures w14:val="none"/>
        </w:rPr>
        <w:t>a chair for future meetings</w:t>
      </w:r>
      <w:r w:rsidR="00A96D49" w:rsidRPr="06F413B6">
        <w:rPr>
          <w:rFonts w:eastAsia="Times New Roman"/>
          <w:kern w:val="0"/>
          <w:lang w:eastAsia="en-GB"/>
          <w14:ligatures w14:val="none"/>
        </w:rPr>
        <w:t>. The committee Chair will be ratified by the TVS SDE Programme Board. The Chair position is for a maximum period of 24 months. Changes to the Chair position shall follow the same process.</w:t>
      </w:r>
    </w:p>
    <w:p w14:paraId="27CB2309" w14:textId="77777777" w:rsidR="00A96D49" w:rsidRPr="002546A3" w:rsidRDefault="00A96D49" w:rsidP="00A96D49">
      <w:pPr>
        <w:spacing w:after="0" w:line="240" w:lineRule="auto"/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</w:p>
    <w:p w14:paraId="370BE9E2" w14:textId="70F45053" w:rsidR="00A96D49" w:rsidRPr="002546A3" w:rsidRDefault="00A96D49" w:rsidP="646E7863">
      <w:pPr>
        <w:spacing w:after="0" w:line="240" w:lineRule="auto"/>
        <w:textAlignment w:val="baseline"/>
        <w:rPr>
          <w:rFonts w:eastAsia="Times New Roman"/>
          <w:kern w:val="0"/>
          <w:lang w:eastAsia="en-GB"/>
          <w14:ligatures w14:val="none"/>
        </w:rPr>
      </w:pPr>
      <w:r w:rsidRPr="646E7863">
        <w:rPr>
          <w:rFonts w:eastAsia="Times New Roman"/>
          <w:kern w:val="0"/>
          <w:lang w:eastAsia="en-GB"/>
          <w14:ligatures w14:val="none"/>
        </w:rPr>
        <w:t xml:space="preserve">If a member is unable to attend a given meeting, they will be asked to nominate a suitable deputy </w:t>
      </w:r>
      <w:r w:rsidR="00F27249" w:rsidRPr="646E7863">
        <w:rPr>
          <w:rFonts w:eastAsia="Times New Roman"/>
          <w:kern w:val="0"/>
          <w:lang w:eastAsia="en-GB"/>
          <w14:ligatures w14:val="none"/>
        </w:rPr>
        <w:t xml:space="preserve">from their organisation, </w:t>
      </w:r>
      <w:r w:rsidRPr="646E7863">
        <w:rPr>
          <w:rFonts w:eastAsia="Times New Roman"/>
          <w:kern w:val="0"/>
          <w:lang w:eastAsia="en-GB"/>
          <w14:ligatures w14:val="none"/>
        </w:rPr>
        <w:t>who can attend in their place.  </w:t>
      </w:r>
    </w:p>
    <w:p w14:paraId="5F18663B" w14:textId="77777777" w:rsidR="00A96D49" w:rsidRDefault="00A96D49" w:rsidP="00A96D49">
      <w:pPr>
        <w:spacing w:after="0" w:line="240" w:lineRule="auto"/>
        <w:textAlignment w:val="baseline"/>
      </w:pPr>
    </w:p>
    <w:p w14:paraId="4616CB30" w14:textId="77777777" w:rsidR="00A96D49" w:rsidRDefault="00A96D49" w:rsidP="00A96D49">
      <w:pPr>
        <w:spacing w:after="0" w:line="240" w:lineRule="auto"/>
        <w:textAlignment w:val="baseline"/>
      </w:pPr>
      <w:r w:rsidRPr="00A61945">
        <w:t xml:space="preserve">Observers may be invited to attend the meeting when appropriate. Such attendees are not counted as part of the quorum. </w:t>
      </w:r>
    </w:p>
    <w:p w14:paraId="737DBD89" w14:textId="77777777" w:rsidR="00A96D49" w:rsidRDefault="00A96D49" w:rsidP="00A96D49">
      <w:pPr>
        <w:spacing w:after="0" w:line="240" w:lineRule="auto"/>
        <w:textAlignment w:val="baseline"/>
      </w:pPr>
    </w:p>
    <w:p w14:paraId="39DD2D73" w14:textId="77777777" w:rsidR="00A96D49" w:rsidRPr="002546A3" w:rsidRDefault="00A96D49" w:rsidP="00A96D49">
      <w:pPr>
        <w:spacing w:after="0" w:line="240" w:lineRule="auto"/>
        <w:textAlignment w:val="baseline"/>
        <w:rPr>
          <w:rFonts w:eastAsia="Times New Roman" w:cstheme="minorHAnsi"/>
          <w:kern w:val="0"/>
          <w:sz w:val="18"/>
          <w:szCs w:val="18"/>
          <w:lang w:eastAsia="en-GB"/>
          <w14:ligatures w14:val="none"/>
        </w:rPr>
      </w:pPr>
      <w:r w:rsidRPr="002546A3">
        <w:rPr>
          <w:rFonts w:eastAsia="Times New Roman" w:cstheme="minorHAnsi"/>
          <w:kern w:val="0"/>
          <w:lang w:eastAsia="en-GB"/>
          <w14:ligatures w14:val="none"/>
        </w:rPr>
        <w:t>Any of the following may be asked to attend: </w:t>
      </w:r>
    </w:p>
    <w:p w14:paraId="75257834" w14:textId="77777777" w:rsidR="00A96D49" w:rsidRPr="002546A3" w:rsidRDefault="00A96D49" w:rsidP="646E7863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Bidi"/>
          <w:lang w:eastAsia="en-GB"/>
        </w:rPr>
      </w:pPr>
      <w:r w:rsidRPr="646E7863">
        <w:rPr>
          <w:rFonts w:asciiTheme="minorHAnsi" w:hAnsiTheme="minorHAnsi" w:cstheme="minorBidi"/>
        </w:rPr>
        <w:t xml:space="preserve">representative of the TVS SDE operational teams e.g. service, technical, commercials and finance, governance and engagement </w:t>
      </w:r>
    </w:p>
    <w:p w14:paraId="39816484" w14:textId="77777777" w:rsidR="00A96D49" w:rsidRPr="002546A3" w:rsidRDefault="00A96D49" w:rsidP="646E7863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Bidi"/>
          <w:lang w:eastAsia="en-GB"/>
        </w:rPr>
      </w:pPr>
      <w:r w:rsidRPr="646E7863">
        <w:rPr>
          <w:rFonts w:asciiTheme="minorHAnsi" w:eastAsia="Times New Roman" w:hAnsiTheme="minorHAnsi" w:cstheme="minorBidi"/>
          <w:lang w:eastAsia="en-GB"/>
        </w:rPr>
        <w:t>scientific, technical, legal, or governance experts</w:t>
      </w:r>
    </w:p>
    <w:p w14:paraId="33F9FF16" w14:textId="6111F9DF" w:rsidR="00A96D49" w:rsidRPr="002546A3" w:rsidRDefault="00A96D49" w:rsidP="646E7863">
      <w:pPr>
        <w:pStyle w:val="ListParagraph"/>
        <w:numPr>
          <w:ilvl w:val="0"/>
          <w:numId w:val="1"/>
        </w:numPr>
        <w:rPr>
          <w:rStyle w:val="normaltextrun"/>
          <w:rFonts w:asciiTheme="minorHAnsi" w:hAnsiTheme="minorHAnsi" w:cstheme="minorBidi"/>
        </w:rPr>
      </w:pPr>
      <w:r w:rsidRPr="646E786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representative from the TVS SDE </w:t>
      </w:r>
      <w:r w:rsidR="007C09EE" w:rsidRPr="646E786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academic</w:t>
      </w:r>
      <w:r w:rsidRPr="646E786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research advisory committee </w:t>
      </w:r>
    </w:p>
    <w:p w14:paraId="18BBAE62" w14:textId="54DDA9ED" w:rsidR="00A96D49" w:rsidRPr="002546A3" w:rsidRDefault="00A96D49" w:rsidP="646E7863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646E786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representatives from the I</w:t>
      </w:r>
      <w:r w:rsidR="6D9BB4F5" w:rsidRPr="646E786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ntegrated </w:t>
      </w:r>
      <w:r w:rsidRPr="646E786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C</w:t>
      </w:r>
      <w:r w:rsidR="3AEA0DA6" w:rsidRPr="646E786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are </w:t>
      </w:r>
      <w:r w:rsidRPr="646E786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S</w:t>
      </w:r>
      <w:r w:rsidR="1E5F2728" w:rsidRPr="646E786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ystem</w:t>
      </w:r>
      <w:r w:rsidRPr="646E786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s </w:t>
      </w:r>
      <w:r w:rsidR="6A9CBB3E" w:rsidRPr="646E786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(ICSs) </w:t>
      </w:r>
      <w:r w:rsidRPr="646E786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and / or partner trusts</w:t>
      </w:r>
    </w:p>
    <w:p w14:paraId="71018A8C" w14:textId="77777777" w:rsidR="007C09EE" w:rsidRDefault="007C09EE" w:rsidP="00A96D49"/>
    <w:p w14:paraId="2A40C395" w14:textId="04096497" w:rsidR="00A96D49" w:rsidRDefault="00A96D49" w:rsidP="007C09EE">
      <w:r>
        <w:t xml:space="preserve">The Committee shall be quorate if at least six members are present </w:t>
      </w:r>
      <w:r w:rsidR="00551E22">
        <w:t xml:space="preserve">and must </w:t>
      </w:r>
      <w:r>
        <w:t xml:space="preserve">include </w:t>
      </w:r>
      <w:r w:rsidR="0033227F">
        <w:t xml:space="preserve">two commercial representatives, </w:t>
      </w:r>
      <w:r>
        <w:t>the chair</w:t>
      </w:r>
      <w:r w:rsidR="00B5156D">
        <w:t xml:space="preserve">, </w:t>
      </w:r>
      <w:r w:rsidR="00AF1F00">
        <w:t>the TVS SDE Commercial Lead</w:t>
      </w:r>
      <w:r w:rsidR="00371FA8">
        <w:t>,</w:t>
      </w:r>
      <w:r>
        <w:t xml:space="preserve"> and the </w:t>
      </w:r>
      <w:r w:rsidR="00AF1F00">
        <w:t xml:space="preserve">TVS SDE </w:t>
      </w:r>
      <w:r w:rsidR="003B7743">
        <w:t>Director or</w:t>
      </w:r>
      <w:r w:rsidR="00370084">
        <w:t xml:space="preserve"> their</w:t>
      </w:r>
      <w:r w:rsidR="003B7743">
        <w:t xml:space="preserve"> </w:t>
      </w:r>
      <w:r w:rsidR="00CB3013">
        <w:t xml:space="preserve">nominated </w:t>
      </w:r>
      <w:r w:rsidR="009F0245">
        <w:t>deputy.</w:t>
      </w:r>
    </w:p>
    <w:p w14:paraId="6BE7F020" w14:textId="77777777" w:rsidR="00780DAD" w:rsidRPr="002546A3" w:rsidRDefault="00780DAD" w:rsidP="00780DAD">
      <w:pPr>
        <w:pStyle w:val="Heading1"/>
        <w:rPr>
          <w:rFonts w:asciiTheme="minorHAnsi" w:hAnsiTheme="minorHAnsi" w:cstheme="minorHAnsi"/>
        </w:rPr>
      </w:pPr>
      <w:r w:rsidRPr="002546A3">
        <w:rPr>
          <w:rFonts w:asciiTheme="minorHAnsi" w:hAnsiTheme="minorHAnsi" w:cstheme="minorHAnsi"/>
        </w:rPr>
        <w:t xml:space="preserve">Accountabilities </w:t>
      </w:r>
    </w:p>
    <w:p w14:paraId="3BF3FA08" w14:textId="77777777" w:rsidR="00780DAD" w:rsidRDefault="00780DAD" w:rsidP="00780DAD">
      <w:r w:rsidRPr="00A61945">
        <w:t xml:space="preserve">The </w:t>
      </w:r>
      <w:r>
        <w:t>committee</w:t>
      </w:r>
      <w:r w:rsidRPr="00A61945">
        <w:t xml:space="preserve"> is accountable to </w:t>
      </w:r>
      <w:r>
        <w:t>the TVS SDE Management Team.</w:t>
      </w:r>
    </w:p>
    <w:p w14:paraId="19CBC8DE" w14:textId="77777777" w:rsidR="00780DAD" w:rsidRPr="002546A3" w:rsidRDefault="00780DAD" w:rsidP="00780DAD">
      <w:pPr>
        <w:pStyle w:val="Heading1"/>
        <w:rPr>
          <w:rFonts w:asciiTheme="minorHAnsi" w:hAnsiTheme="minorHAnsi" w:cstheme="minorHAnsi"/>
        </w:rPr>
      </w:pPr>
      <w:r w:rsidRPr="002546A3">
        <w:rPr>
          <w:rFonts w:asciiTheme="minorHAnsi" w:hAnsiTheme="minorHAnsi" w:cstheme="minorHAnsi"/>
        </w:rPr>
        <w:t xml:space="preserve">Review </w:t>
      </w:r>
    </w:p>
    <w:p w14:paraId="39E5BCD3" w14:textId="77777777" w:rsidR="00780DAD" w:rsidRDefault="00780DAD" w:rsidP="00780DAD">
      <w:r w:rsidRPr="00A61945">
        <w:t xml:space="preserve">The </w:t>
      </w:r>
      <w:r>
        <w:t>committee</w:t>
      </w:r>
      <w:r w:rsidRPr="00A61945">
        <w:t xml:space="preserve"> shall review this </w:t>
      </w:r>
      <w:proofErr w:type="spellStart"/>
      <w:r w:rsidRPr="00A61945">
        <w:t>ToR</w:t>
      </w:r>
      <w:proofErr w:type="spellEnd"/>
      <w:r w:rsidRPr="00A61945">
        <w:t xml:space="preserve"> annually, and if there is a major change in the programme.</w:t>
      </w:r>
    </w:p>
    <w:p w14:paraId="3D89ABC4" w14:textId="77777777" w:rsidR="00780DAD" w:rsidRDefault="00780DAD" w:rsidP="00780DAD">
      <w:r>
        <w:t xml:space="preserve">The membership will be reviewed periodically to ensure it remains representative and relevant to the aims and responsibilities.  </w:t>
      </w:r>
    </w:p>
    <w:p w14:paraId="658F521F" w14:textId="77777777" w:rsidR="00780DAD" w:rsidRPr="002546A3" w:rsidRDefault="00780DAD" w:rsidP="00780DAD">
      <w:pPr>
        <w:pStyle w:val="Heading1"/>
        <w:rPr>
          <w:rFonts w:asciiTheme="minorHAnsi" w:hAnsiTheme="minorHAnsi" w:cstheme="minorHAnsi"/>
        </w:rPr>
      </w:pPr>
      <w:r w:rsidRPr="002546A3">
        <w:rPr>
          <w:rFonts w:asciiTheme="minorHAnsi" w:hAnsiTheme="minorHAnsi" w:cstheme="minorHAnsi"/>
        </w:rPr>
        <w:t>Ways of working</w:t>
      </w:r>
    </w:p>
    <w:p w14:paraId="464E59E2" w14:textId="34CA7BF6" w:rsidR="00780DAD" w:rsidRPr="00A61945" w:rsidRDefault="00780DAD" w:rsidP="00780DAD">
      <w:r>
        <w:t xml:space="preserve">The committee shall meet every three months either in person or via videoconference. Decisions can be made outside committee at discretion of the chair with a </w:t>
      </w:r>
      <w:r w:rsidR="002D6DCE">
        <w:t xml:space="preserve">quorate </w:t>
      </w:r>
      <w:r>
        <w:t>number of members.  Where appropriate, subgroups may be convened to complete discrete work packages and report back.</w:t>
      </w:r>
    </w:p>
    <w:p w14:paraId="46DB1F26" w14:textId="77777777" w:rsidR="00780DAD" w:rsidRPr="00A61945" w:rsidRDefault="00780DAD" w:rsidP="00780DAD">
      <w:r>
        <w:t>In practical terms, methods of working will mean:</w:t>
      </w:r>
    </w:p>
    <w:p w14:paraId="1CAAB054" w14:textId="1C39937F" w:rsidR="00396923" w:rsidRPr="00396923" w:rsidRDefault="00396923" w:rsidP="646E7863">
      <w:pPr>
        <w:numPr>
          <w:ilvl w:val="0"/>
          <w:numId w:val="9"/>
        </w:numPr>
        <w:spacing w:after="0" w:line="278" w:lineRule="auto"/>
      </w:pPr>
      <w:r>
        <w:t>Considering a wide perspective across the commercial landscape, and not just</w:t>
      </w:r>
      <w:r w:rsidR="00E528FF">
        <w:t xml:space="preserve"> as a</w:t>
      </w:r>
      <w:r>
        <w:t xml:space="preserve"> </w:t>
      </w:r>
      <w:r w:rsidR="00E528FF">
        <w:t>representative of</w:t>
      </w:r>
      <w:r>
        <w:t xml:space="preserve"> your own organisation.</w:t>
      </w:r>
    </w:p>
    <w:p w14:paraId="5F46CBCB" w14:textId="11C3B95C" w:rsidR="00780DAD" w:rsidRPr="00396923" w:rsidRDefault="00780DAD" w:rsidP="646E7863">
      <w:pPr>
        <w:numPr>
          <w:ilvl w:val="0"/>
          <w:numId w:val="9"/>
        </w:numPr>
        <w:spacing w:after="0" w:line="278" w:lineRule="auto"/>
      </w:pPr>
      <w:r w:rsidRPr="646E7863">
        <w:t>Where members cannot attend the meeting, they should inform the secretariat and arrange for a suitably empowered deputy to attend.</w:t>
      </w:r>
    </w:p>
    <w:p w14:paraId="3A052687" w14:textId="77777777" w:rsidR="00780DAD" w:rsidRPr="002546A3" w:rsidRDefault="00780DAD" w:rsidP="00780DAD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2546A3">
        <w:rPr>
          <w:rFonts w:asciiTheme="minorHAnsi" w:hAnsiTheme="minorHAnsi" w:cstheme="minorHAnsi"/>
        </w:rPr>
        <w:t xml:space="preserve">Observers, including other programme staff, may join the meeting from time to time and in agreement with the chair  </w:t>
      </w:r>
    </w:p>
    <w:p w14:paraId="72A3E594" w14:textId="0837C895" w:rsidR="00780DAD" w:rsidRPr="002546A3" w:rsidRDefault="00780DAD" w:rsidP="00780DAD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2546A3">
        <w:rPr>
          <w:rFonts w:asciiTheme="minorHAnsi" w:hAnsiTheme="minorHAnsi" w:cstheme="minorHAnsi"/>
        </w:rPr>
        <w:t xml:space="preserve">Agenda items for discussion will be defined by the members </w:t>
      </w:r>
      <w:r w:rsidR="009C3E04" w:rsidRPr="002546A3">
        <w:rPr>
          <w:rFonts w:asciiTheme="minorHAnsi" w:hAnsiTheme="minorHAnsi" w:cstheme="minorHAnsi"/>
        </w:rPr>
        <w:t xml:space="preserve">using </w:t>
      </w:r>
      <w:r w:rsidRPr="002546A3">
        <w:rPr>
          <w:rFonts w:asciiTheme="minorHAnsi" w:hAnsiTheme="minorHAnsi" w:cstheme="minorHAnsi"/>
        </w:rPr>
        <w:t xml:space="preserve">on a standard agenda template, plus any matters arising </w:t>
      </w:r>
    </w:p>
    <w:p w14:paraId="5E1D8EC2" w14:textId="77777777" w:rsidR="00C57BCD" w:rsidRPr="00582FBA" w:rsidRDefault="00780DAD" w:rsidP="06F413B6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kern w:val="2"/>
          <w14:ligatures w14:val="standardContextual"/>
        </w:rPr>
      </w:pPr>
      <w:r w:rsidRPr="06F413B6">
        <w:rPr>
          <w:rFonts w:asciiTheme="minorHAnsi" w:hAnsiTheme="minorHAnsi" w:cstheme="minorBidi"/>
        </w:rPr>
        <w:t xml:space="preserve">Any meeting papers shall be distributed electronically at least three working days before the meeting.  </w:t>
      </w:r>
    </w:p>
    <w:p w14:paraId="4EBD1E51" w14:textId="2FE5C1B6" w:rsidR="00C57BCD" w:rsidRPr="00C57BCD" w:rsidRDefault="00C57BCD" w:rsidP="06F413B6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kern w:val="2"/>
          <w14:ligatures w14:val="standardContextual"/>
        </w:rPr>
      </w:pPr>
      <w:r w:rsidRPr="06F413B6">
        <w:rPr>
          <w:rFonts w:asciiTheme="minorHAnsi" w:hAnsiTheme="minorHAnsi" w:cstheme="minorBidi"/>
        </w:rPr>
        <w:t>Committee members are required to comply with</w:t>
      </w:r>
      <w:r w:rsidRPr="06F413B6">
        <w:rPr>
          <w:rFonts w:asciiTheme="minorHAnsi" w:hAnsiTheme="minorHAnsi" w:cstheme="minorBidi"/>
          <w:kern w:val="2"/>
          <w14:ligatures w14:val="standardContextual"/>
        </w:rPr>
        <w:t xml:space="preserve"> the TVS SDE policy on declaring and managing interests.  </w:t>
      </w:r>
    </w:p>
    <w:p w14:paraId="3257230B" w14:textId="3EF5DA6C" w:rsidR="00C57BCD" w:rsidRPr="002546A3" w:rsidRDefault="00256C57" w:rsidP="06F413B6">
      <w:pPr>
        <w:pStyle w:val="ListParagraph"/>
        <w:numPr>
          <w:ilvl w:val="0"/>
          <w:numId w:val="9"/>
        </w:numPr>
        <w:rPr>
          <w:rFonts w:asciiTheme="minorHAnsi" w:hAnsiTheme="minorHAnsi" w:cstheme="minorBidi"/>
        </w:rPr>
      </w:pPr>
      <w:r w:rsidRPr="0AB31F8F">
        <w:rPr>
          <w:rFonts w:asciiTheme="minorHAnsi" w:hAnsiTheme="minorHAnsi" w:cstheme="minorBidi"/>
        </w:rPr>
        <w:t xml:space="preserve">Committee members </w:t>
      </w:r>
      <w:r w:rsidRPr="0AB31F8F">
        <w:rPr>
          <w:rFonts w:asciiTheme="minorHAnsi" w:hAnsiTheme="minorHAnsi" w:cstheme="minorBidi"/>
          <w:kern w:val="2"/>
          <w14:ligatures w14:val="standardContextual"/>
        </w:rPr>
        <w:t>are required to</w:t>
      </w:r>
      <w:r w:rsidR="009B4CDE" w:rsidRPr="0AB31F8F">
        <w:rPr>
          <w:rFonts w:asciiTheme="minorHAnsi" w:hAnsiTheme="minorHAnsi" w:cstheme="minorBidi"/>
          <w:kern w:val="2"/>
          <w14:ligatures w14:val="standardContextual"/>
        </w:rPr>
        <w:t xml:space="preserve"> ensure </w:t>
      </w:r>
      <w:r w:rsidR="005567A6" w:rsidRPr="0AB31F8F">
        <w:rPr>
          <w:rFonts w:asciiTheme="minorHAnsi" w:hAnsiTheme="minorHAnsi" w:cstheme="minorBidi"/>
          <w:kern w:val="2"/>
          <w14:ligatures w14:val="standardContextual"/>
        </w:rPr>
        <w:t xml:space="preserve">commercially sensitive </w:t>
      </w:r>
      <w:r w:rsidR="009B4CDE" w:rsidRPr="0AB31F8F">
        <w:rPr>
          <w:rFonts w:asciiTheme="minorHAnsi" w:hAnsiTheme="minorHAnsi" w:cstheme="minorBidi"/>
          <w:kern w:val="2"/>
          <w14:ligatures w14:val="standardContextual"/>
        </w:rPr>
        <w:t xml:space="preserve">information is kept confidential </w:t>
      </w:r>
      <w:r w:rsidR="003B3F38" w:rsidRPr="0AB31F8F">
        <w:rPr>
          <w:rFonts w:asciiTheme="minorHAnsi" w:hAnsiTheme="minorHAnsi" w:cstheme="minorBidi"/>
          <w:kern w:val="2"/>
          <w14:ligatures w14:val="standardContextual"/>
        </w:rPr>
        <w:t xml:space="preserve">and </w:t>
      </w:r>
      <w:r w:rsidR="0037691C" w:rsidRPr="0AB31F8F">
        <w:rPr>
          <w:rFonts w:asciiTheme="minorHAnsi" w:hAnsiTheme="minorHAnsi" w:cstheme="minorBidi"/>
          <w:kern w:val="2"/>
          <w14:ligatures w14:val="standardContextual"/>
        </w:rPr>
        <w:t>to sign a</w:t>
      </w:r>
      <w:r w:rsidR="003B3F38" w:rsidRPr="0AB31F8F">
        <w:rPr>
          <w:rFonts w:asciiTheme="minorHAnsi" w:hAnsiTheme="minorHAnsi" w:cstheme="minorBidi"/>
          <w:kern w:val="2"/>
          <w14:ligatures w14:val="standardContextual"/>
        </w:rPr>
        <w:t xml:space="preserve"> non-disclosure agreement </w:t>
      </w:r>
      <w:r w:rsidR="0037691C" w:rsidRPr="0AB31F8F">
        <w:rPr>
          <w:rFonts w:asciiTheme="minorHAnsi" w:hAnsiTheme="minorHAnsi" w:cstheme="minorBidi"/>
          <w:kern w:val="2"/>
          <w14:ligatures w14:val="standardContextual"/>
        </w:rPr>
        <w:t>to this effect.</w:t>
      </w:r>
      <w:r w:rsidR="008B1DF1" w:rsidRPr="0AB31F8F">
        <w:rPr>
          <w:rFonts w:asciiTheme="minorHAnsi" w:hAnsiTheme="minorHAnsi" w:cstheme="minorBidi"/>
          <w:kern w:val="2"/>
          <w14:ligatures w14:val="standardContextual"/>
        </w:rPr>
        <w:t xml:space="preserve"> </w:t>
      </w:r>
    </w:p>
    <w:p w14:paraId="54E68B44" w14:textId="3E0171FB" w:rsidR="0AB31F8F" w:rsidRDefault="0AB31F8F">
      <w:r>
        <w:br w:type="page"/>
      </w:r>
    </w:p>
    <w:p w14:paraId="2FE7317D" w14:textId="53A2B80A" w:rsidR="008E1C11" w:rsidRPr="002546A3" w:rsidRDefault="00F03824" w:rsidP="0AB31F8F">
      <w:pPr>
        <w:pStyle w:val="Heading1"/>
        <w:rPr>
          <w:rFonts w:asciiTheme="minorHAnsi" w:hAnsiTheme="minorHAnsi" w:cstheme="minorBidi"/>
        </w:rPr>
      </w:pPr>
      <w:r w:rsidRPr="0AB31F8F">
        <w:rPr>
          <w:rFonts w:asciiTheme="minorHAnsi" w:hAnsiTheme="minorHAnsi" w:cstheme="minorBidi"/>
        </w:rPr>
        <w:t>A</w:t>
      </w:r>
      <w:r w:rsidR="00353B83" w:rsidRPr="0AB31F8F">
        <w:rPr>
          <w:rFonts w:asciiTheme="minorHAnsi" w:hAnsiTheme="minorHAnsi" w:cstheme="minorBidi"/>
        </w:rPr>
        <w:t xml:space="preserve">ppendix one:  List of </w:t>
      </w:r>
      <w:r w:rsidR="003765AD" w:rsidRPr="0AB31F8F">
        <w:rPr>
          <w:rFonts w:asciiTheme="minorHAnsi" w:hAnsiTheme="minorHAnsi" w:cstheme="minorBidi"/>
        </w:rPr>
        <w:t>commercial organisations</w:t>
      </w:r>
      <w:r w:rsidR="00353B83" w:rsidRPr="0AB31F8F">
        <w:rPr>
          <w:rFonts w:asciiTheme="minorHAnsi" w:hAnsiTheme="minorHAnsi" w:cstheme="minorBidi"/>
        </w:rPr>
        <w:t xml:space="preserve"> in scope</w:t>
      </w:r>
    </w:p>
    <w:p w14:paraId="57F0670E" w14:textId="77777777" w:rsidR="005C2F18" w:rsidRDefault="005C2F18" w:rsidP="0014629B"/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0573ED" w:rsidRPr="002546A3" w14:paraId="4A1AE5DB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5425D2F5" w14:textId="77777777" w:rsidR="000573ED" w:rsidRPr="002546A3" w:rsidRDefault="000573ED" w:rsidP="00C37E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546A3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Company</w:t>
            </w:r>
          </w:p>
        </w:tc>
      </w:tr>
      <w:tr w:rsidR="000573ED" w:rsidRPr="002546A3" w14:paraId="2A12A666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04F0EF22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Aneira Health Limited</w:t>
            </w:r>
          </w:p>
        </w:tc>
      </w:tr>
      <w:tr w:rsidR="000573ED" w:rsidRPr="002546A3" w14:paraId="43A98C49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28864FA1" w14:textId="77777777" w:rsidR="000573ED" w:rsidRPr="002546A3" w:rsidRDefault="000573ED" w:rsidP="00C37E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546A3"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Arturis Data (UK) Limited</w:t>
            </w:r>
          </w:p>
        </w:tc>
      </w:tr>
      <w:tr w:rsidR="000573ED" w:rsidRPr="002546A3" w14:paraId="39643E0C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5A779A38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Boehringer Ingelheim Limited</w:t>
            </w:r>
          </w:p>
        </w:tc>
      </w:tr>
      <w:tr w:rsidR="000573ED" w:rsidRPr="002546A3" w14:paraId="6C049A8C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55AD14D2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Cancer Research Technology Limited, trading as Cancer Research Horizons</w:t>
            </w:r>
          </w:p>
        </w:tc>
      </w:tr>
      <w:tr w:rsidR="000573ED" w:rsidRPr="002546A3" w14:paraId="1A1E3169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07A9DA09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Clarivate PLC</w:t>
            </w:r>
          </w:p>
        </w:tc>
      </w:tr>
      <w:tr w:rsidR="000573ED" w:rsidRPr="002546A3" w14:paraId="0A72334E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135A4E15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proofErr w:type="spellStart"/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Diaceutics</w:t>
            </w:r>
            <w:proofErr w:type="spellEnd"/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PLC</w:t>
            </w:r>
          </w:p>
        </w:tc>
      </w:tr>
      <w:tr w:rsidR="000573ED" w:rsidRPr="002546A3" w14:paraId="21CEA1F4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5A26E93D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Ferring Pharmaceuticals Limited</w:t>
            </w:r>
          </w:p>
        </w:tc>
      </w:tr>
      <w:tr w:rsidR="000573ED" w:rsidRPr="002546A3" w14:paraId="048FBD69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0F27CA7C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Johnson &amp; Johnson Limited</w:t>
            </w:r>
          </w:p>
        </w:tc>
      </w:tr>
      <w:tr w:rsidR="000573ED" w:rsidRPr="002546A3" w14:paraId="60D09A88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196207C4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proofErr w:type="spellStart"/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LifeArc</w:t>
            </w:r>
            <w:proofErr w:type="spellEnd"/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</w:tc>
      </w:tr>
      <w:tr w:rsidR="000573ED" w:rsidRPr="002546A3" w14:paraId="514E7115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3DC53351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Oxford Cancer Analytics Limited</w:t>
            </w:r>
          </w:p>
        </w:tc>
      </w:tr>
      <w:tr w:rsidR="000573ED" w:rsidRPr="002546A3" w14:paraId="6072B641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4955177B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Oxford Science Enterprises plc</w:t>
            </w:r>
          </w:p>
        </w:tc>
      </w:tr>
      <w:tr w:rsidR="000573ED" w:rsidRPr="002546A3" w14:paraId="024E47C1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2BC6BD06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Promptly Health LDA</w:t>
            </w:r>
          </w:p>
        </w:tc>
      </w:tr>
      <w:tr w:rsidR="000573ED" w:rsidRPr="002546A3" w14:paraId="3A890B59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10236FEA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proofErr w:type="spellStart"/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Proxemis</w:t>
            </w:r>
            <w:proofErr w:type="spellEnd"/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Limited</w:t>
            </w:r>
          </w:p>
        </w:tc>
      </w:tr>
      <w:tr w:rsidR="000573ED" w:rsidRPr="002546A3" w14:paraId="2E35FF3F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36852DAC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RAIQC Limited</w:t>
            </w:r>
          </w:p>
        </w:tc>
      </w:tr>
      <w:tr w:rsidR="000573ED" w:rsidRPr="002546A3" w14:paraId="22EF4368" w14:textId="77777777" w:rsidTr="0AB31F8F">
        <w:trPr>
          <w:trHeight w:val="300"/>
        </w:trPr>
        <w:tc>
          <w:tcPr>
            <w:tcW w:w="7933" w:type="dxa"/>
            <w:shd w:val="clear" w:color="auto" w:fill="auto"/>
            <w:vAlign w:val="center"/>
            <w:hideMark/>
          </w:tcPr>
          <w:p w14:paraId="688DCC9B" w14:textId="77777777" w:rsidR="000573ED" w:rsidRPr="002546A3" w:rsidRDefault="000573ED" w:rsidP="06F413B6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6F413B6">
              <w:rPr>
                <w:rFonts w:eastAsia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Roche Diagnostics Limited</w:t>
            </w:r>
          </w:p>
        </w:tc>
      </w:tr>
    </w:tbl>
    <w:p w14:paraId="62457EDD" w14:textId="59831922" w:rsidR="0AB31F8F" w:rsidRDefault="0AB31F8F" w:rsidP="0AB31F8F">
      <w:pPr>
        <w:pStyle w:val="Heading1"/>
        <w:rPr>
          <w:rFonts w:asciiTheme="minorHAnsi" w:hAnsiTheme="minorHAnsi" w:cstheme="minorBidi"/>
        </w:rPr>
      </w:pPr>
    </w:p>
    <w:p w14:paraId="57FA8401" w14:textId="4FE6399C" w:rsidR="00595E30" w:rsidRDefault="00595E30" w:rsidP="00595E30">
      <w:pPr>
        <w:pStyle w:val="Heading1"/>
        <w:rPr>
          <w:rFonts w:asciiTheme="minorHAnsi" w:hAnsiTheme="minorHAnsi" w:cstheme="minorHAnsi"/>
        </w:rPr>
      </w:pPr>
      <w:r w:rsidRPr="002546A3">
        <w:rPr>
          <w:rFonts w:asciiTheme="minorHAnsi" w:hAnsiTheme="minorHAnsi" w:cstheme="minorHAnsi"/>
        </w:rPr>
        <w:t xml:space="preserve">Appendix two:  programme organisation </w:t>
      </w:r>
    </w:p>
    <w:p w14:paraId="793E5A09" w14:textId="77777777" w:rsidR="0046025B" w:rsidRPr="0046025B" w:rsidRDefault="0046025B" w:rsidP="0046025B"/>
    <w:p w14:paraId="40A703B6" w14:textId="570444AB" w:rsidR="00595E30" w:rsidRPr="002546A3" w:rsidRDefault="00CF5020" w:rsidP="00595E30">
      <w:pPr>
        <w:rPr>
          <w:rFonts w:eastAsia="Times New Roman" w:cstheme="minorHAnsi"/>
          <w:sz w:val="20"/>
          <w:szCs w:val="20"/>
        </w:rPr>
      </w:pPr>
      <w:r w:rsidRPr="00214D1F">
        <w:rPr>
          <w:noProof/>
        </w:rPr>
        <w:drawing>
          <wp:inline distT="0" distB="0" distL="0" distR="0" wp14:anchorId="0EEA89B1" wp14:editId="59CB40EA">
            <wp:extent cx="5731510" cy="3297988"/>
            <wp:effectExtent l="0" t="0" r="0" b="0"/>
            <wp:docPr id="951018117" name="Picture 1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18117" name="Picture 1" descr="A diagram of a company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645CA" w14:textId="77777777" w:rsidR="00595E30" w:rsidRPr="0010432B" w:rsidRDefault="00595E30" w:rsidP="00595E30">
      <w:pPr>
        <w:pStyle w:val="Caption"/>
        <w:jc w:val="center"/>
        <w:rPr>
          <w:i w:val="0"/>
          <w:color w:val="000000"/>
          <w:sz w:val="24"/>
          <w:szCs w:val="22"/>
        </w:rPr>
      </w:pPr>
      <w:bookmarkStart w:id="0" w:name="_Ref166838963"/>
      <w:bookmarkStart w:id="1" w:name="_Toc166853424"/>
      <w:r w:rsidRPr="0010432B">
        <w:t>Figure 1</w:t>
      </w:r>
      <w:bookmarkEnd w:id="0"/>
      <w:r w:rsidRPr="0010432B">
        <w:t xml:space="preserve"> – programme organisation chart</w:t>
      </w:r>
      <w:bookmarkEnd w:id="1"/>
    </w:p>
    <w:p w14:paraId="10098330" w14:textId="77777777" w:rsidR="00595E30" w:rsidRPr="0014629B" w:rsidRDefault="00595E30" w:rsidP="0014629B"/>
    <w:sectPr w:rsidR="00595E30" w:rsidRPr="0014629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AD476" w14:textId="77777777" w:rsidR="00B30095" w:rsidRDefault="00B30095" w:rsidP="00353B83">
      <w:pPr>
        <w:spacing w:after="0" w:line="240" w:lineRule="auto"/>
      </w:pPr>
      <w:r>
        <w:separator/>
      </w:r>
    </w:p>
  </w:endnote>
  <w:endnote w:type="continuationSeparator" w:id="0">
    <w:p w14:paraId="1BE7B076" w14:textId="77777777" w:rsidR="00B30095" w:rsidRDefault="00B30095" w:rsidP="00353B83">
      <w:pPr>
        <w:spacing w:after="0" w:line="240" w:lineRule="auto"/>
      </w:pPr>
      <w:r>
        <w:continuationSeparator/>
      </w:r>
    </w:p>
  </w:endnote>
  <w:endnote w:type="continuationNotice" w:id="1">
    <w:p w14:paraId="3D1B908E" w14:textId="77777777" w:rsidR="00B30095" w:rsidRDefault="00B30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E9C0" w14:textId="35C3D830" w:rsidR="06F413B6" w:rsidRDefault="06F413B6" w:rsidP="646E7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20CC" w14:textId="77777777" w:rsidR="00B30095" w:rsidRDefault="00B30095" w:rsidP="00353B83">
      <w:pPr>
        <w:spacing w:after="0" w:line="240" w:lineRule="auto"/>
      </w:pPr>
      <w:r>
        <w:separator/>
      </w:r>
    </w:p>
  </w:footnote>
  <w:footnote w:type="continuationSeparator" w:id="0">
    <w:p w14:paraId="5CE5E2E7" w14:textId="77777777" w:rsidR="00B30095" w:rsidRDefault="00B30095" w:rsidP="00353B83">
      <w:pPr>
        <w:spacing w:after="0" w:line="240" w:lineRule="auto"/>
      </w:pPr>
      <w:r>
        <w:continuationSeparator/>
      </w:r>
    </w:p>
  </w:footnote>
  <w:footnote w:type="continuationNotice" w:id="1">
    <w:p w14:paraId="4D6D7105" w14:textId="77777777" w:rsidR="00B30095" w:rsidRDefault="00B300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8064" w14:textId="6BCF29A9" w:rsidR="00FD497B" w:rsidRDefault="1293EE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91E72B" wp14:editId="2919836E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5622278" cy="645399"/>
          <wp:effectExtent l="0" t="0" r="0" b="0"/>
          <wp:wrapNone/>
          <wp:docPr id="13716940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a:blip>
                  <a:srcRect l="5452" t="2735" b="89596"/>
                  <a:stretch>
                    <a:fillRect/>
                  </a:stretch>
                </pic:blipFill>
                <pic:spPr>
                  <a:xfrm>
                    <a:off x="0" y="0"/>
                    <a:ext cx="5622278" cy="645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231FB8" w14:textId="77777777" w:rsidR="00FD497B" w:rsidRDefault="00FD497B">
    <w:pPr>
      <w:pStyle w:val="Header"/>
      <w:rPr>
        <w:noProof/>
      </w:rPr>
    </w:pPr>
  </w:p>
  <w:p w14:paraId="5A9172EC" w14:textId="77777777" w:rsidR="00FD497B" w:rsidRDefault="00FD497B">
    <w:pPr>
      <w:pStyle w:val="Header"/>
      <w:rPr>
        <w:noProof/>
      </w:rPr>
    </w:pPr>
  </w:p>
  <w:p w14:paraId="66AB2645" w14:textId="10D871C6" w:rsidR="00FA6057" w:rsidRDefault="00FA6057">
    <w:pPr>
      <w:pStyle w:val="Header"/>
    </w:pPr>
  </w:p>
  <w:p w14:paraId="2D2BC2B2" w14:textId="0C8508B1" w:rsidR="00353B83" w:rsidRDefault="00353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0AAC"/>
    <w:multiLevelType w:val="hybridMultilevel"/>
    <w:tmpl w:val="89D053D0"/>
    <w:lvl w:ilvl="0" w:tplc="B5982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56ABF"/>
    <w:multiLevelType w:val="hybridMultilevel"/>
    <w:tmpl w:val="C564199C"/>
    <w:lvl w:ilvl="0" w:tplc="A824F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477"/>
    <w:multiLevelType w:val="hybridMultilevel"/>
    <w:tmpl w:val="F8E4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B4212"/>
    <w:multiLevelType w:val="multilevel"/>
    <w:tmpl w:val="0090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FF4EBD"/>
    <w:multiLevelType w:val="hybridMultilevel"/>
    <w:tmpl w:val="DE18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91285"/>
    <w:multiLevelType w:val="hybridMultilevel"/>
    <w:tmpl w:val="C69CED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5536D4"/>
    <w:multiLevelType w:val="hybridMultilevel"/>
    <w:tmpl w:val="1A92B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32320"/>
    <w:multiLevelType w:val="hybridMultilevel"/>
    <w:tmpl w:val="C36ECFB2"/>
    <w:lvl w:ilvl="0" w:tplc="576C3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C0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C1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E8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0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C7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03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C0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E2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C36DE"/>
    <w:multiLevelType w:val="multilevel"/>
    <w:tmpl w:val="3740DCB2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1418" w:hanging="709"/>
      </w:pPr>
      <w:rPr>
        <w:b w:val="0"/>
        <w:bCs/>
      </w:rPr>
    </w:lvl>
    <w:lvl w:ilvl="2">
      <w:start w:val="1"/>
      <w:numFmt w:val="decimal"/>
      <w:lvlText w:val="%1.%2.%3"/>
      <w:legacy w:legacy="1" w:legacySpace="0" w:legacyIndent="992"/>
      <w:lvlJc w:val="left"/>
      <w:pPr>
        <w:ind w:left="2410" w:hanging="992"/>
      </w:pPr>
    </w:lvl>
    <w:lvl w:ilvl="3">
      <w:start w:val="1"/>
      <w:numFmt w:val="decimal"/>
      <w:lvlText w:val="%1.%2.%3.%4"/>
      <w:legacy w:legacy="1" w:legacySpace="0" w:legacyIndent="1276"/>
      <w:lvlJc w:val="left"/>
      <w:pPr>
        <w:ind w:left="3686" w:hanging="1276"/>
      </w:pPr>
    </w:lvl>
    <w:lvl w:ilvl="4">
      <w:start w:val="1"/>
      <w:numFmt w:val="decimal"/>
      <w:lvlText w:val="%1.%2.%3.%4.%5"/>
      <w:legacy w:legacy="1" w:legacySpace="0" w:legacyIndent="1559"/>
      <w:lvlJc w:val="left"/>
      <w:pPr>
        <w:ind w:left="5245" w:hanging="1559"/>
      </w:pPr>
    </w:lvl>
    <w:lvl w:ilvl="5">
      <w:start w:val="1"/>
      <w:numFmt w:val="lowerLetter"/>
      <w:lvlText w:val="(%6)"/>
      <w:legacy w:legacy="1" w:legacySpace="0" w:legacyIndent="709"/>
      <w:lvlJc w:val="left"/>
      <w:pPr>
        <w:ind w:left="5954" w:hanging="709"/>
      </w:pPr>
    </w:lvl>
    <w:lvl w:ilvl="6">
      <w:start w:val="1"/>
      <w:numFmt w:val="lowerRoman"/>
      <w:lvlText w:val="(%7)"/>
      <w:legacy w:legacy="1" w:legacySpace="0" w:legacyIndent="709"/>
      <w:lvlJc w:val="left"/>
      <w:pPr>
        <w:ind w:left="6663" w:hanging="709"/>
      </w:pPr>
    </w:lvl>
    <w:lvl w:ilvl="7">
      <w:start w:val="1"/>
      <w:numFmt w:val="upperLetter"/>
      <w:lvlText w:val="(%8)"/>
      <w:legacy w:legacy="1" w:legacySpace="0" w:legacyIndent="709"/>
      <w:lvlJc w:val="left"/>
      <w:pPr>
        <w:ind w:left="7372" w:hanging="709"/>
      </w:pPr>
    </w:lvl>
    <w:lvl w:ilvl="8">
      <w:start w:val="1"/>
      <w:numFmt w:val="none"/>
      <w:lvlText w:val="·"/>
      <w:legacy w:legacy="1" w:legacySpace="0" w:legacyIndent="709"/>
      <w:lvlJc w:val="left"/>
      <w:pPr>
        <w:ind w:left="8081" w:hanging="709"/>
      </w:pPr>
      <w:rPr>
        <w:rFonts w:ascii="Symbol" w:hAnsi="Symbol" w:hint="default"/>
      </w:rPr>
    </w:lvl>
  </w:abstractNum>
  <w:abstractNum w:abstractNumId="9" w15:restartNumberingAfterBreak="0">
    <w:nsid w:val="7E7B7A1F"/>
    <w:multiLevelType w:val="hybridMultilevel"/>
    <w:tmpl w:val="9830E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83070">
    <w:abstractNumId w:val="7"/>
  </w:num>
  <w:num w:numId="2" w16cid:durableId="265505410">
    <w:abstractNumId w:val="6"/>
  </w:num>
  <w:num w:numId="3" w16cid:durableId="1831210181">
    <w:abstractNumId w:val="6"/>
  </w:num>
  <w:num w:numId="4" w16cid:durableId="1892812752">
    <w:abstractNumId w:val="1"/>
  </w:num>
  <w:num w:numId="5" w16cid:durableId="2098088013">
    <w:abstractNumId w:val="5"/>
  </w:num>
  <w:num w:numId="6" w16cid:durableId="2119523959">
    <w:abstractNumId w:val="4"/>
  </w:num>
  <w:num w:numId="7" w16cid:durableId="1670520533">
    <w:abstractNumId w:val="9"/>
  </w:num>
  <w:num w:numId="8" w16cid:durableId="230584952">
    <w:abstractNumId w:val="0"/>
  </w:num>
  <w:num w:numId="9" w16cid:durableId="942229503">
    <w:abstractNumId w:val="2"/>
  </w:num>
  <w:num w:numId="10" w16cid:durableId="1198547332">
    <w:abstractNumId w:val="8"/>
  </w:num>
  <w:num w:numId="11" w16cid:durableId="66679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0B"/>
    <w:rsid w:val="00006391"/>
    <w:rsid w:val="0000771B"/>
    <w:rsid w:val="0001182B"/>
    <w:rsid w:val="00013230"/>
    <w:rsid w:val="000237B1"/>
    <w:rsid w:val="00024106"/>
    <w:rsid w:val="00033B17"/>
    <w:rsid w:val="00033B79"/>
    <w:rsid w:val="00043F10"/>
    <w:rsid w:val="00046777"/>
    <w:rsid w:val="00050E38"/>
    <w:rsid w:val="0005163E"/>
    <w:rsid w:val="000544E9"/>
    <w:rsid w:val="000573ED"/>
    <w:rsid w:val="00064840"/>
    <w:rsid w:val="00065ED7"/>
    <w:rsid w:val="00066917"/>
    <w:rsid w:val="00067524"/>
    <w:rsid w:val="00070CE2"/>
    <w:rsid w:val="00073B74"/>
    <w:rsid w:val="00084F4D"/>
    <w:rsid w:val="0009067E"/>
    <w:rsid w:val="000A0749"/>
    <w:rsid w:val="000A29E5"/>
    <w:rsid w:val="000A453F"/>
    <w:rsid w:val="000A6652"/>
    <w:rsid w:val="000A6B31"/>
    <w:rsid w:val="000B31ED"/>
    <w:rsid w:val="000B5A3D"/>
    <w:rsid w:val="000B5AE1"/>
    <w:rsid w:val="000B7E0C"/>
    <w:rsid w:val="000C6774"/>
    <w:rsid w:val="000D26C6"/>
    <w:rsid w:val="000D5BB2"/>
    <w:rsid w:val="000E3FCC"/>
    <w:rsid w:val="000E402B"/>
    <w:rsid w:val="000F4B94"/>
    <w:rsid w:val="000F6F16"/>
    <w:rsid w:val="001017A0"/>
    <w:rsid w:val="0010432B"/>
    <w:rsid w:val="00106AD7"/>
    <w:rsid w:val="001078C4"/>
    <w:rsid w:val="00115AAD"/>
    <w:rsid w:val="00117B86"/>
    <w:rsid w:val="0012631E"/>
    <w:rsid w:val="00127FD4"/>
    <w:rsid w:val="00136689"/>
    <w:rsid w:val="00137C5B"/>
    <w:rsid w:val="00141FB6"/>
    <w:rsid w:val="00144243"/>
    <w:rsid w:val="0014525A"/>
    <w:rsid w:val="0014543D"/>
    <w:rsid w:val="0014629B"/>
    <w:rsid w:val="00156A5A"/>
    <w:rsid w:val="00162FC7"/>
    <w:rsid w:val="00163AB9"/>
    <w:rsid w:val="00167000"/>
    <w:rsid w:val="00171DB0"/>
    <w:rsid w:val="00184D5B"/>
    <w:rsid w:val="001954D5"/>
    <w:rsid w:val="00196D77"/>
    <w:rsid w:val="001A0F2D"/>
    <w:rsid w:val="001A2D25"/>
    <w:rsid w:val="001A5775"/>
    <w:rsid w:val="001A62F1"/>
    <w:rsid w:val="001B2C9A"/>
    <w:rsid w:val="001C19CE"/>
    <w:rsid w:val="001C274E"/>
    <w:rsid w:val="001C6722"/>
    <w:rsid w:val="001D6551"/>
    <w:rsid w:val="001D7B64"/>
    <w:rsid w:val="001E1D8B"/>
    <w:rsid w:val="001E5506"/>
    <w:rsid w:val="001E609A"/>
    <w:rsid w:val="001F58DC"/>
    <w:rsid w:val="001F5BAA"/>
    <w:rsid w:val="002025D0"/>
    <w:rsid w:val="00205B80"/>
    <w:rsid w:val="00207188"/>
    <w:rsid w:val="002217CC"/>
    <w:rsid w:val="002244E6"/>
    <w:rsid w:val="002263EC"/>
    <w:rsid w:val="00231827"/>
    <w:rsid w:val="00237D55"/>
    <w:rsid w:val="00242F6D"/>
    <w:rsid w:val="002443D7"/>
    <w:rsid w:val="00246738"/>
    <w:rsid w:val="0025091B"/>
    <w:rsid w:val="00252BFC"/>
    <w:rsid w:val="002546A3"/>
    <w:rsid w:val="002561EC"/>
    <w:rsid w:val="00256301"/>
    <w:rsid w:val="00256C57"/>
    <w:rsid w:val="00264CF9"/>
    <w:rsid w:val="00272139"/>
    <w:rsid w:val="00276428"/>
    <w:rsid w:val="0027759A"/>
    <w:rsid w:val="00280FA2"/>
    <w:rsid w:val="00282BD3"/>
    <w:rsid w:val="0028364E"/>
    <w:rsid w:val="00284EE6"/>
    <w:rsid w:val="0028694B"/>
    <w:rsid w:val="002A37EC"/>
    <w:rsid w:val="002A449E"/>
    <w:rsid w:val="002B076F"/>
    <w:rsid w:val="002B2DED"/>
    <w:rsid w:val="002B2FF8"/>
    <w:rsid w:val="002D0098"/>
    <w:rsid w:val="002D0112"/>
    <w:rsid w:val="002D09A1"/>
    <w:rsid w:val="002D1B44"/>
    <w:rsid w:val="002D3B52"/>
    <w:rsid w:val="002D3BB6"/>
    <w:rsid w:val="002D597C"/>
    <w:rsid w:val="002D6DCE"/>
    <w:rsid w:val="002D79EF"/>
    <w:rsid w:val="002E0BFA"/>
    <w:rsid w:val="002F2A06"/>
    <w:rsid w:val="002F68EB"/>
    <w:rsid w:val="00315EBF"/>
    <w:rsid w:val="00320BB0"/>
    <w:rsid w:val="003224A6"/>
    <w:rsid w:val="00327944"/>
    <w:rsid w:val="0033227F"/>
    <w:rsid w:val="00336151"/>
    <w:rsid w:val="003365FA"/>
    <w:rsid w:val="003371C4"/>
    <w:rsid w:val="00342072"/>
    <w:rsid w:val="00346D1B"/>
    <w:rsid w:val="00353B83"/>
    <w:rsid w:val="00356207"/>
    <w:rsid w:val="00356D89"/>
    <w:rsid w:val="003606E6"/>
    <w:rsid w:val="0036091D"/>
    <w:rsid w:val="00370084"/>
    <w:rsid w:val="00371FA8"/>
    <w:rsid w:val="003765AD"/>
    <w:rsid w:val="0037691C"/>
    <w:rsid w:val="00381292"/>
    <w:rsid w:val="00383F63"/>
    <w:rsid w:val="00387864"/>
    <w:rsid w:val="0039397C"/>
    <w:rsid w:val="00396923"/>
    <w:rsid w:val="003A2833"/>
    <w:rsid w:val="003B32A7"/>
    <w:rsid w:val="003B3F38"/>
    <w:rsid w:val="003B4068"/>
    <w:rsid w:val="003B541C"/>
    <w:rsid w:val="003B7743"/>
    <w:rsid w:val="003C2A89"/>
    <w:rsid w:val="003D3380"/>
    <w:rsid w:val="003F1C45"/>
    <w:rsid w:val="00401DC4"/>
    <w:rsid w:val="00416B3F"/>
    <w:rsid w:val="0043205B"/>
    <w:rsid w:val="00436F11"/>
    <w:rsid w:val="00440F1B"/>
    <w:rsid w:val="00443385"/>
    <w:rsid w:val="00446A91"/>
    <w:rsid w:val="0045703C"/>
    <w:rsid w:val="0046025B"/>
    <w:rsid w:val="004623A7"/>
    <w:rsid w:val="00464131"/>
    <w:rsid w:val="004645C2"/>
    <w:rsid w:val="00464CAD"/>
    <w:rsid w:val="00464CC6"/>
    <w:rsid w:val="004662F8"/>
    <w:rsid w:val="0047042F"/>
    <w:rsid w:val="00476B08"/>
    <w:rsid w:val="00480A75"/>
    <w:rsid w:val="00481188"/>
    <w:rsid w:val="00481F46"/>
    <w:rsid w:val="00487F93"/>
    <w:rsid w:val="00492F94"/>
    <w:rsid w:val="00494880"/>
    <w:rsid w:val="00496FF9"/>
    <w:rsid w:val="004A27B1"/>
    <w:rsid w:val="004A6689"/>
    <w:rsid w:val="004B5746"/>
    <w:rsid w:val="004B7CF3"/>
    <w:rsid w:val="004C5C6D"/>
    <w:rsid w:val="004C624E"/>
    <w:rsid w:val="004C6991"/>
    <w:rsid w:val="004E1785"/>
    <w:rsid w:val="004E2218"/>
    <w:rsid w:val="004E488F"/>
    <w:rsid w:val="004F2419"/>
    <w:rsid w:val="004F5303"/>
    <w:rsid w:val="004F55C3"/>
    <w:rsid w:val="004F707F"/>
    <w:rsid w:val="005175A3"/>
    <w:rsid w:val="0052004F"/>
    <w:rsid w:val="00520662"/>
    <w:rsid w:val="00522AEC"/>
    <w:rsid w:val="00523722"/>
    <w:rsid w:val="00526E07"/>
    <w:rsid w:val="00536CB8"/>
    <w:rsid w:val="00543716"/>
    <w:rsid w:val="00543C17"/>
    <w:rsid w:val="00543F1A"/>
    <w:rsid w:val="00550C43"/>
    <w:rsid w:val="00551E22"/>
    <w:rsid w:val="005537BC"/>
    <w:rsid w:val="0055452A"/>
    <w:rsid w:val="00555AE4"/>
    <w:rsid w:val="005567A6"/>
    <w:rsid w:val="0057359F"/>
    <w:rsid w:val="00582FBA"/>
    <w:rsid w:val="00583D45"/>
    <w:rsid w:val="00584EDF"/>
    <w:rsid w:val="005911C5"/>
    <w:rsid w:val="00591821"/>
    <w:rsid w:val="005932B6"/>
    <w:rsid w:val="00595007"/>
    <w:rsid w:val="005955D2"/>
    <w:rsid w:val="00595E30"/>
    <w:rsid w:val="005A70CD"/>
    <w:rsid w:val="005C26AA"/>
    <w:rsid w:val="005C2F18"/>
    <w:rsid w:val="005C3426"/>
    <w:rsid w:val="005D6677"/>
    <w:rsid w:val="005E06F5"/>
    <w:rsid w:val="005E18E7"/>
    <w:rsid w:val="005E3050"/>
    <w:rsid w:val="005F0B67"/>
    <w:rsid w:val="005F434F"/>
    <w:rsid w:val="005F49BC"/>
    <w:rsid w:val="00601BAB"/>
    <w:rsid w:val="00606D17"/>
    <w:rsid w:val="0061391A"/>
    <w:rsid w:val="0061548F"/>
    <w:rsid w:val="006171C8"/>
    <w:rsid w:val="00622A92"/>
    <w:rsid w:val="00626AB5"/>
    <w:rsid w:val="00630F6B"/>
    <w:rsid w:val="006312AD"/>
    <w:rsid w:val="00631372"/>
    <w:rsid w:val="00650D89"/>
    <w:rsid w:val="0065206F"/>
    <w:rsid w:val="00653419"/>
    <w:rsid w:val="00654846"/>
    <w:rsid w:val="00656B7C"/>
    <w:rsid w:val="00664974"/>
    <w:rsid w:val="006652D2"/>
    <w:rsid w:val="00670870"/>
    <w:rsid w:val="006767AC"/>
    <w:rsid w:val="0067705B"/>
    <w:rsid w:val="00677CC7"/>
    <w:rsid w:val="00677EB6"/>
    <w:rsid w:val="00682A09"/>
    <w:rsid w:val="0068361A"/>
    <w:rsid w:val="00684118"/>
    <w:rsid w:val="00691045"/>
    <w:rsid w:val="00691E3A"/>
    <w:rsid w:val="00695435"/>
    <w:rsid w:val="0069630B"/>
    <w:rsid w:val="006A2AAB"/>
    <w:rsid w:val="006A3A7C"/>
    <w:rsid w:val="006A3B17"/>
    <w:rsid w:val="006B5C98"/>
    <w:rsid w:val="006C1868"/>
    <w:rsid w:val="006E21E7"/>
    <w:rsid w:val="006E297B"/>
    <w:rsid w:val="006F42DB"/>
    <w:rsid w:val="006F792A"/>
    <w:rsid w:val="007028AB"/>
    <w:rsid w:val="007048BB"/>
    <w:rsid w:val="00707AC7"/>
    <w:rsid w:val="007120CC"/>
    <w:rsid w:val="007135DF"/>
    <w:rsid w:val="00715D73"/>
    <w:rsid w:val="007207DC"/>
    <w:rsid w:val="00725E4E"/>
    <w:rsid w:val="0072675A"/>
    <w:rsid w:val="007312A2"/>
    <w:rsid w:val="007343DB"/>
    <w:rsid w:val="00735109"/>
    <w:rsid w:val="00741097"/>
    <w:rsid w:val="007518AF"/>
    <w:rsid w:val="007524B9"/>
    <w:rsid w:val="00755FD8"/>
    <w:rsid w:val="0075607E"/>
    <w:rsid w:val="00770C25"/>
    <w:rsid w:val="00773DFE"/>
    <w:rsid w:val="00775329"/>
    <w:rsid w:val="00776F03"/>
    <w:rsid w:val="00780DAD"/>
    <w:rsid w:val="007856ED"/>
    <w:rsid w:val="00790199"/>
    <w:rsid w:val="00795806"/>
    <w:rsid w:val="007A0DC0"/>
    <w:rsid w:val="007A2B67"/>
    <w:rsid w:val="007B0C00"/>
    <w:rsid w:val="007B38DE"/>
    <w:rsid w:val="007B412E"/>
    <w:rsid w:val="007B727E"/>
    <w:rsid w:val="007C09EE"/>
    <w:rsid w:val="007C1C31"/>
    <w:rsid w:val="007C34B4"/>
    <w:rsid w:val="007C4CED"/>
    <w:rsid w:val="007C7872"/>
    <w:rsid w:val="007D1B96"/>
    <w:rsid w:val="007D2CA3"/>
    <w:rsid w:val="007D55C9"/>
    <w:rsid w:val="007E4073"/>
    <w:rsid w:val="007F47B3"/>
    <w:rsid w:val="007F53A7"/>
    <w:rsid w:val="00810649"/>
    <w:rsid w:val="008111D6"/>
    <w:rsid w:val="00813B3C"/>
    <w:rsid w:val="00813F7E"/>
    <w:rsid w:val="00814F73"/>
    <w:rsid w:val="008157E8"/>
    <w:rsid w:val="00822760"/>
    <w:rsid w:val="008238F7"/>
    <w:rsid w:val="00824088"/>
    <w:rsid w:val="008255CA"/>
    <w:rsid w:val="00833257"/>
    <w:rsid w:val="008439CB"/>
    <w:rsid w:val="008444B1"/>
    <w:rsid w:val="0084472E"/>
    <w:rsid w:val="008500A2"/>
    <w:rsid w:val="00851CC4"/>
    <w:rsid w:val="00852E3C"/>
    <w:rsid w:val="00853930"/>
    <w:rsid w:val="00863448"/>
    <w:rsid w:val="00875742"/>
    <w:rsid w:val="00877A48"/>
    <w:rsid w:val="00882D3E"/>
    <w:rsid w:val="00886DF6"/>
    <w:rsid w:val="008905DE"/>
    <w:rsid w:val="00890F86"/>
    <w:rsid w:val="008913E2"/>
    <w:rsid w:val="008937D9"/>
    <w:rsid w:val="00897571"/>
    <w:rsid w:val="008A08EA"/>
    <w:rsid w:val="008A2754"/>
    <w:rsid w:val="008A5584"/>
    <w:rsid w:val="008B1DF1"/>
    <w:rsid w:val="008B2543"/>
    <w:rsid w:val="008B5E22"/>
    <w:rsid w:val="008B5FD5"/>
    <w:rsid w:val="008C3D17"/>
    <w:rsid w:val="008D2451"/>
    <w:rsid w:val="008D6A78"/>
    <w:rsid w:val="008E1C11"/>
    <w:rsid w:val="008E5B26"/>
    <w:rsid w:val="008E6F05"/>
    <w:rsid w:val="008F2415"/>
    <w:rsid w:val="008F3512"/>
    <w:rsid w:val="008F5B18"/>
    <w:rsid w:val="008F7B6F"/>
    <w:rsid w:val="009040DB"/>
    <w:rsid w:val="00905238"/>
    <w:rsid w:val="00911D84"/>
    <w:rsid w:val="00913438"/>
    <w:rsid w:val="00914E92"/>
    <w:rsid w:val="00915CF2"/>
    <w:rsid w:val="00916C44"/>
    <w:rsid w:val="00917C7A"/>
    <w:rsid w:val="0092292A"/>
    <w:rsid w:val="00923AA5"/>
    <w:rsid w:val="00925086"/>
    <w:rsid w:val="00936560"/>
    <w:rsid w:val="0094117B"/>
    <w:rsid w:val="00941718"/>
    <w:rsid w:val="00942DC6"/>
    <w:rsid w:val="009638D6"/>
    <w:rsid w:val="00973805"/>
    <w:rsid w:val="00982F69"/>
    <w:rsid w:val="00984195"/>
    <w:rsid w:val="00984F80"/>
    <w:rsid w:val="009A3709"/>
    <w:rsid w:val="009B06BA"/>
    <w:rsid w:val="009B2317"/>
    <w:rsid w:val="009B4CDE"/>
    <w:rsid w:val="009C3D3B"/>
    <w:rsid w:val="009C3E04"/>
    <w:rsid w:val="009D4DD0"/>
    <w:rsid w:val="009E295B"/>
    <w:rsid w:val="009E2F1D"/>
    <w:rsid w:val="009E74C4"/>
    <w:rsid w:val="009E7E0D"/>
    <w:rsid w:val="009F01F0"/>
    <w:rsid w:val="009F0245"/>
    <w:rsid w:val="009F4C5D"/>
    <w:rsid w:val="009F52C9"/>
    <w:rsid w:val="009F5408"/>
    <w:rsid w:val="00A04113"/>
    <w:rsid w:val="00A04DDF"/>
    <w:rsid w:val="00A141C2"/>
    <w:rsid w:val="00A142F6"/>
    <w:rsid w:val="00A159F1"/>
    <w:rsid w:val="00A261F4"/>
    <w:rsid w:val="00A300D8"/>
    <w:rsid w:val="00A30DB3"/>
    <w:rsid w:val="00A31923"/>
    <w:rsid w:val="00A336CA"/>
    <w:rsid w:val="00A35D94"/>
    <w:rsid w:val="00A42762"/>
    <w:rsid w:val="00A429DC"/>
    <w:rsid w:val="00A42D81"/>
    <w:rsid w:val="00A4466F"/>
    <w:rsid w:val="00A46F9A"/>
    <w:rsid w:val="00A47B58"/>
    <w:rsid w:val="00A51D8C"/>
    <w:rsid w:val="00A55703"/>
    <w:rsid w:val="00A56883"/>
    <w:rsid w:val="00A60691"/>
    <w:rsid w:val="00A61B7D"/>
    <w:rsid w:val="00A67365"/>
    <w:rsid w:val="00A67F05"/>
    <w:rsid w:val="00A744A1"/>
    <w:rsid w:val="00A74E4C"/>
    <w:rsid w:val="00A81085"/>
    <w:rsid w:val="00A810EC"/>
    <w:rsid w:val="00A81D0B"/>
    <w:rsid w:val="00A839F1"/>
    <w:rsid w:val="00A9549F"/>
    <w:rsid w:val="00A96D49"/>
    <w:rsid w:val="00AA7850"/>
    <w:rsid w:val="00AA7C6C"/>
    <w:rsid w:val="00AC2B53"/>
    <w:rsid w:val="00AC5BF6"/>
    <w:rsid w:val="00AD1D33"/>
    <w:rsid w:val="00AD5076"/>
    <w:rsid w:val="00AE0C37"/>
    <w:rsid w:val="00AE1D18"/>
    <w:rsid w:val="00AF1F00"/>
    <w:rsid w:val="00AF2C11"/>
    <w:rsid w:val="00B0197B"/>
    <w:rsid w:val="00B01F12"/>
    <w:rsid w:val="00B14591"/>
    <w:rsid w:val="00B30095"/>
    <w:rsid w:val="00B329DD"/>
    <w:rsid w:val="00B33D9D"/>
    <w:rsid w:val="00B46C32"/>
    <w:rsid w:val="00B5156D"/>
    <w:rsid w:val="00B52769"/>
    <w:rsid w:val="00B554BB"/>
    <w:rsid w:val="00B7694A"/>
    <w:rsid w:val="00B806B0"/>
    <w:rsid w:val="00B87A81"/>
    <w:rsid w:val="00B87D01"/>
    <w:rsid w:val="00B9767B"/>
    <w:rsid w:val="00BA3789"/>
    <w:rsid w:val="00BA423D"/>
    <w:rsid w:val="00BB2BB0"/>
    <w:rsid w:val="00BD0850"/>
    <w:rsid w:val="00BD0AE4"/>
    <w:rsid w:val="00BD4231"/>
    <w:rsid w:val="00BD43F7"/>
    <w:rsid w:val="00BE3F09"/>
    <w:rsid w:val="00BF2D68"/>
    <w:rsid w:val="00BF4414"/>
    <w:rsid w:val="00BF4AC5"/>
    <w:rsid w:val="00BF5412"/>
    <w:rsid w:val="00C00351"/>
    <w:rsid w:val="00C01295"/>
    <w:rsid w:val="00C05FA3"/>
    <w:rsid w:val="00C07D15"/>
    <w:rsid w:val="00C1375D"/>
    <w:rsid w:val="00C15126"/>
    <w:rsid w:val="00C32242"/>
    <w:rsid w:val="00C33894"/>
    <w:rsid w:val="00C37EEE"/>
    <w:rsid w:val="00C41683"/>
    <w:rsid w:val="00C4711A"/>
    <w:rsid w:val="00C47C0A"/>
    <w:rsid w:val="00C55683"/>
    <w:rsid w:val="00C5663D"/>
    <w:rsid w:val="00C56AC6"/>
    <w:rsid w:val="00C57BCD"/>
    <w:rsid w:val="00C6328B"/>
    <w:rsid w:val="00C71126"/>
    <w:rsid w:val="00C7176F"/>
    <w:rsid w:val="00C71BF2"/>
    <w:rsid w:val="00C774E0"/>
    <w:rsid w:val="00C95946"/>
    <w:rsid w:val="00CA49A5"/>
    <w:rsid w:val="00CA6ECC"/>
    <w:rsid w:val="00CB3013"/>
    <w:rsid w:val="00CB6050"/>
    <w:rsid w:val="00CB778E"/>
    <w:rsid w:val="00CC3014"/>
    <w:rsid w:val="00CC3DD2"/>
    <w:rsid w:val="00CC43E2"/>
    <w:rsid w:val="00CD1E0D"/>
    <w:rsid w:val="00CF2D1F"/>
    <w:rsid w:val="00CF5020"/>
    <w:rsid w:val="00CF55ED"/>
    <w:rsid w:val="00D00C1F"/>
    <w:rsid w:val="00D04214"/>
    <w:rsid w:val="00D052AB"/>
    <w:rsid w:val="00D075C1"/>
    <w:rsid w:val="00D0FE4F"/>
    <w:rsid w:val="00D12F13"/>
    <w:rsid w:val="00D149D3"/>
    <w:rsid w:val="00D2425C"/>
    <w:rsid w:val="00D25111"/>
    <w:rsid w:val="00D25EEB"/>
    <w:rsid w:val="00D26B0A"/>
    <w:rsid w:val="00D3105B"/>
    <w:rsid w:val="00D318CE"/>
    <w:rsid w:val="00D31CE4"/>
    <w:rsid w:val="00D35ABE"/>
    <w:rsid w:val="00D41C25"/>
    <w:rsid w:val="00D43065"/>
    <w:rsid w:val="00D677AD"/>
    <w:rsid w:val="00D772C1"/>
    <w:rsid w:val="00D8333C"/>
    <w:rsid w:val="00D8388E"/>
    <w:rsid w:val="00D912F9"/>
    <w:rsid w:val="00D93EC1"/>
    <w:rsid w:val="00D9626B"/>
    <w:rsid w:val="00DA36D6"/>
    <w:rsid w:val="00DA581F"/>
    <w:rsid w:val="00DB32F9"/>
    <w:rsid w:val="00DD005E"/>
    <w:rsid w:val="00DD0FD6"/>
    <w:rsid w:val="00DD217F"/>
    <w:rsid w:val="00DD45E7"/>
    <w:rsid w:val="00DD5226"/>
    <w:rsid w:val="00DF0F45"/>
    <w:rsid w:val="00DF6E46"/>
    <w:rsid w:val="00E00DD8"/>
    <w:rsid w:val="00E02FFA"/>
    <w:rsid w:val="00E17A9D"/>
    <w:rsid w:val="00E210E1"/>
    <w:rsid w:val="00E22B3B"/>
    <w:rsid w:val="00E279BC"/>
    <w:rsid w:val="00E31A56"/>
    <w:rsid w:val="00E43B74"/>
    <w:rsid w:val="00E46584"/>
    <w:rsid w:val="00E528FF"/>
    <w:rsid w:val="00E54A1B"/>
    <w:rsid w:val="00E54C7D"/>
    <w:rsid w:val="00E63147"/>
    <w:rsid w:val="00E657A6"/>
    <w:rsid w:val="00E67761"/>
    <w:rsid w:val="00E75523"/>
    <w:rsid w:val="00E78F72"/>
    <w:rsid w:val="00E807EA"/>
    <w:rsid w:val="00E80A1F"/>
    <w:rsid w:val="00E829BA"/>
    <w:rsid w:val="00E8381F"/>
    <w:rsid w:val="00EA4348"/>
    <w:rsid w:val="00EA470A"/>
    <w:rsid w:val="00EB0276"/>
    <w:rsid w:val="00EB4067"/>
    <w:rsid w:val="00EC31B6"/>
    <w:rsid w:val="00EC5E1D"/>
    <w:rsid w:val="00EC6738"/>
    <w:rsid w:val="00EE026D"/>
    <w:rsid w:val="00EE0D57"/>
    <w:rsid w:val="00EE22CE"/>
    <w:rsid w:val="00EE4FB4"/>
    <w:rsid w:val="00EE5BEF"/>
    <w:rsid w:val="00EF11FC"/>
    <w:rsid w:val="00EF2E8B"/>
    <w:rsid w:val="00EF3662"/>
    <w:rsid w:val="00EF5E73"/>
    <w:rsid w:val="00EF6B64"/>
    <w:rsid w:val="00F0004A"/>
    <w:rsid w:val="00F0072C"/>
    <w:rsid w:val="00F03078"/>
    <w:rsid w:val="00F03824"/>
    <w:rsid w:val="00F0410D"/>
    <w:rsid w:val="00F05E5F"/>
    <w:rsid w:val="00F10B3D"/>
    <w:rsid w:val="00F14E79"/>
    <w:rsid w:val="00F16477"/>
    <w:rsid w:val="00F26CDD"/>
    <w:rsid w:val="00F27249"/>
    <w:rsid w:val="00F2752D"/>
    <w:rsid w:val="00F309B9"/>
    <w:rsid w:val="00F33FA3"/>
    <w:rsid w:val="00F4086F"/>
    <w:rsid w:val="00F41325"/>
    <w:rsid w:val="00F42976"/>
    <w:rsid w:val="00F42C7D"/>
    <w:rsid w:val="00F442AF"/>
    <w:rsid w:val="00F44B7A"/>
    <w:rsid w:val="00F46658"/>
    <w:rsid w:val="00F5078A"/>
    <w:rsid w:val="00F50AB6"/>
    <w:rsid w:val="00F517AC"/>
    <w:rsid w:val="00F53958"/>
    <w:rsid w:val="00F5683B"/>
    <w:rsid w:val="00F604FD"/>
    <w:rsid w:val="00F70EEE"/>
    <w:rsid w:val="00F724ED"/>
    <w:rsid w:val="00F74488"/>
    <w:rsid w:val="00F87FDD"/>
    <w:rsid w:val="00F91D08"/>
    <w:rsid w:val="00F93714"/>
    <w:rsid w:val="00F96754"/>
    <w:rsid w:val="00FA6057"/>
    <w:rsid w:val="00FA64AB"/>
    <w:rsid w:val="00FA7F0F"/>
    <w:rsid w:val="00FB2560"/>
    <w:rsid w:val="00FB2999"/>
    <w:rsid w:val="00FB35D5"/>
    <w:rsid w:val="00FB4F73"/>
    <w:rsid w:val="00FC6587"/>
    <w:rsid w:val="00FD497B"/>
    <w:rsid w:val="00FD77E2"/>
    <w:rsid w:val="00FE17B5"/>
    <w:rsid w:val="00FE2EC4"/>
    <w:rsid w:val="00FE49C6"/>
    <w:rsid w:val="00FE771B"/>
    <w:rsid w:val="00FF4ED7"/>
    <w:rsid w:val="00FF7826"/>
    <w:rsid w:val="013BEC81"/>
    <w:rsid w:val="04297CFE"/>
    <w:rsid w:val="044D8A38"/>
    <w:rsid w:val="051F688F"/>
    <w:rsid w:val="052E6541"/>
    <w:rsid w:val="06F413B6"/>
    <w:rsid w:val="07467E6C"/>
    <w:rsid w:val="0893847C"/>
    <w:rsid w:val="09376BFE"/>
    <w:rsid w:val="09FB8E38"/>
    <w:rsid w:val="0AB31F8F"/>
    <w:rsid w:val="0BA03E30"/>
    <w:rsid w:val="0D43B3C0"/>
    <w:rsid w:val="0E55E78F"/>
    <w:rsid w:val="10910D4A"/>
    <w:rsid w:val="1293EE4A"/>
    <w:rsid w:val="132C7710"/>
    <w:rsid w:val="13F57C95"/>
    <w:rsid w:val="1459DEAC"/>
    <w:rsid w:val="14F36924"/>
    <w:rsid w:val="16E08C41"/>
    <w:rsid w:val="17876519"/>
    <w:rsid w:val="17C55DCF"/>
    <w:rsid w:val="1869C9D1"/>
    <w:rsid w:val="1B00CC06"/>
    <w:rsid w:val="1B689EF5"/>
    <w:rsid w:val="1D1F5FBE"/>
    <w:rsid w:val="1DD09838"/>
    <w:rsid w:val="1E1684AA"/>
    <w:rsid w:val="1E5F2728"/>
    <w:rsid w:val="1E6020F9"/>
    <w:rsid w:val="1E815458"/>
    <w:rsid w:val="1E8D40CB"/>
    <w:rsid w:val="1F35741F"/>
    <w:rsid w:val="1F789816"/>
    <w:rsid w:val="1FA4DA6F"/>
    <w:rsid w:val="224B6AB2"/>
    <w:rsid w:val="22A32DDE"/>
    <w:rsid w:val="22C11B98"/>
    <w:rsid w:val="234C9E98"/>
    <w:rsid w:val="2370D2E4"/>
    <w:rsid w:val="23A77C86"/>
    <w:rsid w:val="23F00764"/>
    <w:rsid w:val="25F70939"/>
    <w:rsid w:val="26476C30"/>
    <w:rsid w:val="285A721A"/>
    <w:rsid w:val="29A6F49F"/>
    <w:rsid w:val="29F75463"/>
    <w:rsid w:val="2A9BE001"/>
    <w:rsid w:val="2B3F4FB4"/>
    <w:rsid w:val="2B6836B3"/>
    <w:rsid w:val="2D2D16CB"/>
    <w:rsid w:val="2F135709"/>
    <w:rsid w:val="2F988BE8"/>
    <w:rsid w:val="30BFFEA2"/>
    <w:rsid w:val="319FF790"/>
    <w:rsid w:val="32BE7D0C"/>
    <w:rsid w:val="34FF0062"/>
    <w:rsid w:val="356B98B3"/>
    <w:rsid w:val="3576848E"/>
    <w:rsid w:val="3588EE55"/>
    <w:rsid w:val="36EBB7F0"/>
    <w:rsid w:val="37C14A17"/>
    <w:rsid w:val="394E4878"/>
    <w:rsid w:val="3AEA0DA6"/>
    <w:rsid w:val="3BE52C13"/>
    <w:rsid w:val="3EA3FE0D"/>
    <w:rsid w:val="402DAB28"/>
    <w:rsid w:val="405302FD"/>
    <w:rsid w:val="4143F662"/>
    <w:rsid w:val="415066B9"/>
    <w:rsid w:val="41BEFE4D"/>
    <w:rsid w:val="41C97B89"/>
    <w:rsid w:val="44EF746B"/>
    <w:rsid w:val="45041BDA"/>
    <w:rsid w:val="47DD7F77"/>
    <w:rsid w:val="483BE389"/>
    <w:rsid w:val="48A10428"/>
    <w:rsid w:val="48D8E5B4"/>
    <w:rsid w:val="49CF180F"/>
    <w:rsid w:val="4B56A906"/>
    <w:rsid w:val="4C83F136"/>
    <w:rsid w:val="4D509898"/>
    <w:rsid w:val="4E2962D0"/>
    <w:rsid w:val="4EFC0FE0"/>
    <w:rsid w:val="4F41F2BF"/>
    <w:rsid w:val="4F562D25"/>
    <w:rsid w:val="51E13B66"/>
    <w:rsid w:val="51FB3DC0"/>
    <w:rsid w:val="52BA50CC"/>
    <w:rsid w:val="5362FAE5"/>
    <w:rsid w:val="53C937E9"/>
    <w:rsid w:val="53CF8103"/>
    <w:rsid w:val="55AFD914"/>
    <w:rsid w:val="55D78459"/>
    <w:rsid w:val="58C9320D"/>
    <w:rsid w:val="5A9F22F7"/>
    <w:rsid w:val="5B7E1F7B"/>
    <w:rsid w:val="5D784769"/>
    <w:rsid w:val="608D4E61"/>
    <w:rsid w:val="6314626B"/>
    <w:rsid w:val="63A1DA3B"/>
    <w:rsid w:val="646E7863"/>
    <w:rsid w:val="64982F77"/>
    <w:rsid w:val="658962B4"/>
    <w:rsid w:val="65BD0FFA"/>
    <w:rsid w:val="67E539F0"/>
    <w:rsid w:val="6A9CBB3E"/>
    <w:rsid w:val="6C582CDC"/>
    <w:rsid w:val="6D0FD8F8"/>
    <w:rsid w:val="6D9BB4F5"/>
    <w:rsid w:val="6ED797B5"/>
    <w:rsid w:val="6F6929C1"/>
    <w:rsid w:val="704779BA"/>
    <w:rsid w:val="75BF4C4D"/>
    <w:rsid w:val="75FE0EA5"/>
    <w:rsid w:val="77A8B7C9"/>
    <w:rsid w:val="78E7EE8B"/>
    <w:rsid w:val="7B25824B"/>
    <w:rsid w:val="7CC1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3678D"/>
  <w15:docId w15:val="{04DE1783-6726-40F6-97DB-2314DE66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14629B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4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62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A378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53B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53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B83"/>
  </w:style>
  <w:style w:type="paragraph" w:styleId="Footer">
    <w:name w:val="footer"/>
    <w:basedOn w:val="Normal"/>
    <w:link w:val="FooterChar"/>
    <w:uiPriority w:val="99"/>
    <w:unhideWhenUsed/>
    <w:rsid w:val="00353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B83"/>
  </w:style>
  <w:style w:type="character" w:styleId="CommentReference">
    <w:name w:val="annotation reference"/>
    <w:basedOn w:val="DefaultParagraphFont"/>
    <w:uiPriority w:val="99"/>
    <w:semiHidden/>
    <w:unhideWhenUsed/>
    <w:rsid w:val="00A14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1C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075C1"/>
    <w:pPr>
      <w:spacing w:after="0" w:line="240" w:lineRule="auto"/>
    </w:pPr>
    <w:rPr>
      <w:kern w:val="0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basedOn w:val="DefaultParagraphFont"/>
    <w:link w:val="ListParagraph"/>
    <w:uiPriority w:val="34"/>
    <w:qFormat/>
    <w:locked/>
    <w:rsid w:val="00A96D49"/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A96D49"/>
  </w:style>
  <w:style w:type="paragraph" w:styleId="Caption">
    <w:name w:val="caption"/>
    <w:basedOn w:val="Normal"/>
    <w:uiPriority w:val="35"/>
    <w:unhideWhenUsed/>
    <w:qFormat/>
    <w:rsid w:val="00595E30"/>
    <w:pPr>
      <w:spacing w:after="200" w:line="240" w:lineRule="auto"/>
    </w:pPr>
    <w:rPr>
      <w:rFonts w:cstheme="minorHAnsi"/>
      <w:i/>
      <w:iCs/>
      <w:color w:val="44546A"/>
      <w:kern w:val="0"/>
      <w:sz w:val="18"/>
      <w:szCs w:val="18"/>
      <w:lang w:eastAsia="en-GB"/>
    </w:rPr>
  </w:style>
  <w:style w:type="character" w:styleId="Mention">
    <w:name w:val="Mention"/>
    <w:basedOn w:val="DefaultParagraphFont"/>
    <w:uiPriority w:val="99"/>
    <w:unhideWhenUsed/>
    <w:rsid w:val="00CF5020"/>
    <w:rPr>
      <w:color w:val="2B579A"/>
      <w:shd w:val="clear" w:color="auto" w:fill="E1DFDD"/>
    </w:rPr>
  </w:style>
  <w:style w:type="paragraph" w:customStyle="1" w:styleId="SchedClauses">
    <w:name w:val="Sched Clauses"/>
    <w:basedOn w:val="Normal"/>
    <w:rsid w:val="00272139"/>
    <w:pPr>
      <w:spacing w:before="200" w:after="6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BA9D4014D284796CB7E53D251E02B" ma:contentTypeVersion="20" ma:contentTypeDescription="Create a new document." ma:contentTypeScope="" ma:versionID="7107b05f8565a123a108095782252b40">
  <xsd:schema xmlns:xsd="http://www.w3.org/2001/XMLSchema" xmlns:xs="http://www.w3.org/2001/XMLSchema" xmlns:p="http://schemas.microsoft.com/office/2006/metadata/properties" xmlns:ns2="4be71d6b-2674-4843-bd83-ff545a59b82c" xmlns:ns3="e0498750-bc48-486e-b40f-f191aecd041c" targetNamespace="http://schemas.microsoft.com/office/2006/metadata/properties" ma:root="true" ma:fieldsID="fd7f81afb03280c092cd864707300ba6" ns2:_="" ns3:_="">
    <xsd:import namespace="4be71d6b-2674-4843-bd83-ff545a59b82c"/>
    <xsd:import namespace="e0498750-bc48-486e-b40f-f191aecd0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1d6b-2674-4843-bd83-ff545a59b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8c215-db77-46a5-90c5-97344132c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description="Information about file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98750-bc48-486e-b40f-f191aecd0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304379-af2c-4db9-9e49-5c12b75ce1ba}" ma:internalName="TaxCatchAll" ma:showField="CatchAllData" ma:web="e0498750-bc48-486e-b40f-f191aecd0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4be71d6b-2674-4843-bd83-ff545a59b82c" xsi:nil="true"/>
    <lcf76f155ced4ddcb4097134ff3c332f xmlns="4be71d6b-2674-4843-bd83-ff545a59b82c">
      <Terms xmlns="http://schemas.microsoft.com/office/infopath/2007/PartnerControls"/>
    </lcf76f155ced4ddcb4097134ff3c332f>
    <TaxCatchAll xmlns="e0498750-bc48-486e-b40f-f191aecd041c" xsi:nil="true"/>
    <SharedWithUsers xmlns="e0498750-bc48-486e-b40f-f191aecd041c">
      <UserInfo>
        <DisplayName>Roadknight, Gail (RTH) OUH</DisplayName>
        <AccountId>13</AccountId>
        <AccountType/>
      </UserInfo>
      <UserInfo>
        <DisplayName>Woods, Kerrie (RTH) OUH</DisplayName>
        <AccountId>35</AccountId>
        <AccountType/>
      </UserInfo>
      <UserInfo>
        <DisplayName>Varnai, Kinga (RTH) OUH</DisplayName>
        <AccountId>19</AccountId>
        <AccountType/>
      </UserInfo>
      <UserInfo>
        <DisplayName>Davies, Jim (RTH) OUH</DisplayName>
        <AccountId>233</AccountId>
        <AccountType/>
      </UserInfo>
      <UserInfo>
        <DisplayName>Kemp, Fred (RTH) OUH</DisplayName>
        <AccountId>420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1C6D-C95C-4E70-A49F-61B29A841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1d6b-2674-4843-bd83-ff545a59b82c"/>
    <ds:schemaRef ds:uri="e0498750-bc48-486e-b40f-f191aecd0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8D282-7C65-418F-9684-264D458CE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02855-D363-4ED9-9D9B-9D92A0708473}">
  <ds:schemaRefs>
    <ds:schemaRef ds:uri="http://schemas.microsoft.com/office/2006/metadata/properties"/>
    <ds:schemaRef ds:uri="http://schemas.microsoft.com/office/infopath/2007/PartnerControls"/>
    <ds:schemaRef ds:uri="4be71d6b-2674-4843-bd83-ff545a59b82c"/>
    <ds:schemaRef ds:uri="e0498750-bc48-486e-b40f-f191aecd041c"/>
  </ds:schemaRefs>
</ds:datastoreItem>
</file>

<file path=customXml/itemProps4.xml><?xml version="1.0" encoding="utf-8"?>
<ds:datastoreItem xmlns:ds="http://schemas.openxmlformats.org/officeDocument/2006/customXml" ds:itemID="{6F576671-BF2F-4EE4-9430-07D77274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Marsden</dc:creator>
  <cp:keywords/>
  <cp:lastModifiedBy>Kemp, Fred (RTH) OUH</cp:lastModifiedBy>
  <cp:revision>236</cp:revision>
  <dcterms:created xsi:type="dcterms:W3CDTF">2025-04-30T17:01:00Z</dcterms:created>
  <dcterms:modified xsi:type="dcterms:W3CDTF">2025-06-26T20:26:00Z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0x01010079BBA9D4014D284796CB7E53D251E02B</vt:lpwstr>
  </property>
  <property fmtid="{D5CDD505-2E9C-101B-9397-08002B2CF9AE}" pid="3" name="MediaServiceImageTags">
    <vt:lpwstr/>
  </property>
</Properties>
</file>